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docProps/custom.xml" ContentType="application/vnd.openxmlformats-officedocument.custom-properties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946"/>
        <w:ind w:firstLine="0"/>
        <w:spacing w:before="0" w:after="0" w:line="240" w:lineRule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4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Приложение 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pStyle w:val="94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УТВЕРЖДЕНА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pStyle w:val="94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постановлением администрации  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pStyle w:val="94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муниципального образования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pStyle w:val="94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Ленинградский муниципальный округ Краснодарского края 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pStyle w:val="946"/>
        <w:ind w:left="5244" w:right="0" w:firstLine="0"/>
        <w:jc w:val="both"/>
        <w:spacing w:before="0" w:after="0" w:line="240" w:lineRule="auto"/>
        <w:rPr>
          <w:rFonts w:ascii="FreeSerif" w:hAnsi="FreeSerif" w:cs="FreeSerif"/>
        </w:rPr>
      </w:pPr>
      <w:r>
        <w:rPr>
          <w:rFonts w:ascii="FreeSerif" w:hAnsi="FreeSerif" w:eastAsia="FreeSerif" w:cs="FreeSerif"/>
          <w:sz w:val="28"/>
          <w:szCs w:val="28"/>
        </w:rPr>
        <w:t xml:space="preserve">от_________________  № ________</w:t>
      </w:r>
      <w:r>
        <w:rPr>
          <w:rFonts w:ascii="FreeSerif" w:hAnsi="FreeSerif" w:cs="FreeSerif"/>
        </w:rPr>
      </w:r>
      <w:r>
        <w:rPr>
          <w:rFonts w:ascii="FreeSerif" w:hAnsi="FreeSerif" w:cs="FreeSerif"/>
        </w:rPr>
      </w:r>
    </w:p>
    <w:p>
      <w:pPr>
        <w:spacing w:before="0" w:after="0" w:line="240" w:lineRule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46"/>
        <w:spacing w:before="0" w:after="0" w:line="240" w:lineRule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46"/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Муниципальная программа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pStyle w:val="946"/>
        <w:jc w:val="center"/>
        <w:spacing w:before="0" w:after="0" w:line="240" w:lineRule="auto"/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«Укрепление общественного здоровья </w:t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в </w:t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r>
    </w:p>
    <w:p>
      <w:pPr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Ленинградском муниципальном округе»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pStyle w:val="946"/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Паспорт 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pStyle w:val="946"/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муниципальной программы 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pStyle w:val="946"/>
        <w:jc w:val="center"/>
        <w:spacing w:before="0" w:after="0" w:line="240" w:lineRule="auto"/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«Укрепление общественного здоровья </w:t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в </w:t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</w:r>
    </w:p>
    <w:p>
      <w:pPr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Ленинградском муниципальном округе»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jc w:val="center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  <w:highlight w:val="white"/>
        </w:rPr>
      </w:pP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b/>
          <w:bCs/>
          <w:sz w:val="28"/>
          <w:szCs w:val="28"/>
          <w:highlight w:val="white"/>
        </w:rPr>
        <w:t xml:space="preserve">(далее – Программа)</w:t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sz w:val="28"/>
          <w:szCs w:val="28"/>
          <w:highlight w:val="white"/>
        </w:rPr>
      </w:r>
    </w:p>
    <w:p>
      <w:pPr>
        <w:jc w:val="left"/>
        <w:spacing w:before="0" w:after="0" w:line="240" w:lineRule="auto"/>
        <w:rPr>
          <w:rFonts w:ascii="FreeSerif" w:hAnsi="FreeSerif" w:cs="FreeSerif"/>
          <w:b/>
          <w:bCs/>
          <w:sz w:val="28"/>
          <w:szCs w:val="28"/>
        </w:rPr>
      </w:pPr>
      <w:r>
        <w:rPr>
          <w:rFonts w:ascii="FreeSerif" w:hAnsi="FreeSerif" w:cs="FreeSerif"/>
          <w:b/>
          <w:bCs/>
          <w:sz w:val="28"/>
          <w:szCs w:val="28"/>
          <w:highlight w:val="none"/>
        </w:rPr>
      </w:r>
      <w:r>
        <w:rPr>
          <w:rFonts w:ascii="FreeSerif" w:hAnsi="FreeSerif" w:cs="FreeSerif"/>
          <w:b/>
          <w:bCs/>
          <w:sz w:val="28"/>
          <w:szCs w:val="28"/>
        </w:rPr>
      </w:r>
      <w:r>
        <w:rPr>
          <w:rFonts w:ascii="FreeSerif" w:hAnsi="FreeSerif" w:cs="FreeSerif"/>
          <w:b/>
          <w:bCs/>
          <w:sz w:val="28"/>
          <w:szCs w:val="28"/>
        </w:rPr>
      </w:r>
    </w:p>
    <w:tbl>
      <w:tblPr>
        <w:tblStyle w:val="967"/>
        <w:tblW w:w="9345" w:type="dxa"/>
        <w:tblInd w:w="0" w:type="dxa"/>
        <w:tblLayout w:type="fixed"/>
        <w:tblCellMar>
          <w:left w:w="108" w:type="dxa"/>
          <w:top w:w="0" w:type="dxa"/>
          <w:right w:w="108" w:type="dxa"/>
          <w:bottom w:w="0" w:type="dxa"/>
        </w:tblCellMar>
        <w:tblLook w:val="04A0" w:firstRow="1" w:lastRow="0" w:firstColumn="1" w:lastColumn="0" w:noHBand="0" w:noVBand="1"/>
      </w:tblPr>
      <w:tblGrid>
        <w:gridCol w:w="3538"/>
        <w:gridCol w:w="5806"/>
      </w:tblGrid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46"/>
              <w:jc w:val="left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Координатор муниципальной программы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46"/>
              <w:jc w:val="both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Заместитель главы  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 ( социальная политика) 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left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46"/>
              <w:jc w:val="left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Участники муниципальной программы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46"/>
              <w:jc w:val="both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Сектор по социальным вопросам 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pStyle w:val="946"/>
              <w:jc w:val="both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управление образования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администрации 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jc w:val="both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yellow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yellow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отдел по делам молодежи 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yellow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yellow"/>
              </w:rPr>
            </w:r>
          </w:p>
          <w:p>
            <w:pPr>
              <w:pStyle w:val="946"/>
              <w:jc w:val="both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отдел культуры 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pStyle w:val="946"/>
              <w:jc w:val="both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отдел физической культуры и спорта 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both"/>
              <w:spacing w:before="0" w:beforeAutospacing="0" w:after="0" w:afterAutospacing="0" w:line="240" w:lineRule="auto"/>
              <w:widowControl w:val="off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ru-RU" w:bidi="ar-SA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ru-RU" w:bidi="ar-SA"/>
              </w:rPr>
              <w:t xml:space="preserve">отдел информационной и аналитической работы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ru-RU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ru-RU" w:bidi="ar-SA"/>
              </w:rPr>
            </w:r>
          </w:p>
          <w:p>
            <w:pPr>
              <w:jc w:val="both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ru-RU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  <w:t xml:space="preserve">отдел взаимодействия с правоохранительными органами, военным вопросам и делам казачества 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  <w:t xml:space="preserve">Ленинградского муниципального округа;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ind w:firstLine="0"/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  <w:t xml:space="preserve">отдел архитектуры 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  <w:t xml:space="preserve">администрации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Ленинградского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муниципального округа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pStyle w:val="946"/>
              <w:numPr>
                <w:ilvl w:val="0"/>
                <w:numId w:val="0"/>
              </w:numPr>
              <w:ind w:left="0" w:firstLine="0"/>
              <w:jc w:val="both"/>
              <w:spacing w:before="0" w:beforeAutospacing="0" w:after="0" w:afterAutospacing="0" w:line="240" w:lineRule="auto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  <w:outlineLvl w:val="2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ru-RU" w:bidi="ar-SA"/>
              </w:rPr>
              <w:t xml:space="preserve">МКУ  «Служба единого заказчика Ленинградского муниципального округа»;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ind w:firstLine="0"/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  <w:t xml:space="preserve">государственное бюджетное учреждение здравоохранения «Ленинградская центральная районная больница» министерства здравоохранения Краснодарского края.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numPr>
                <w:ilvl w:val="0"/>
                <w:numId w:val="0"/>
              </w:numPr>
              <w:ind w:left="0" w:firstLine="0"/>
              <w:jc w:val="both"/>
              <w:spacing w:before="0" w:beforeAutospacing="0" w:after="0" w:afterAutospacing="0" w:line="240" w:lineRule="auto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  <w:outlineLvl w:val="2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46"/>
              <w:jc w:val="left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Цели муниципальной программы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46"/>
              <w:numPr>
                <w:ilvl w:val="0"/>
                <w:numId w:val="39"/>
              </w:numPr>
              <w:ind w:left="0" w:firstLine="0"/>
              <w:jc w:val="both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обеспечение к 2030 г. увеличения доли граждан, ведущих здоровый образ жизни, за счет формирования среды, способствующей ведению гражданами здорового образа жизни, снижения распространения хронических заболеваний и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факторов риска их развития.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both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eastAsia="en-US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46"/>
              <w:jc w:val="left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Задачи муниципальной программы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38"/>
              </w:numPr>
              <w:contextualSpacing w:val="0"/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с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нижение распространения артериальной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гипертензии, избыточной массы тела и ожирения, табакокурения, пагубного потребления алкоголя, низкой физической активности, нерационального питания;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pStyle w:val="959"/>
              <w:numPr>
                <w:ilvl w:val="0"/>
                <w:numId w:val="38"/>
              </w:numPr>
              <w:contextualSpacing w:val="0"/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повышение качества проведения диспансеризации определенных групп взрослого населения и профилактических мед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ицинских осмотров;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/>
          </w:p>
          <w:p>
            <w:pPr>
              <w:pStyle w:val="958"/>
              <w:numPr>
                <w:ilvl w:val="0"/>
                <w:numId w:val="38"/>
              </w:numPr>
              <w:contextualSpacing w:val="0"/>
              <w:ind w:left="0" w:firstLine="0"/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формирование среды, способствующей ведению здорового образа жизни и создания условий, обеспечивающих возможность вести здоровый образ жизни, систематически заниматься физической культурой и спортом;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pStyle w:val="958"/>
              <w:numPr>
                <w:ilvl w:val="0"/>
                <w:numId w:val="38"/>
              </w:numPr>
              <w:contextualSpacing w:val="0"/>
              <w:ind w:left="0" w:firstLine="0"/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 повышение ответственности работодателей за здоровье работников через систему экономических и иных стимулов, разработки и принятия корпоративных программ по укреплению здоровья;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pStyle w:val="958"/>
              <w:numPr>
                <w:ilvl w:val="0"/>
                <w:numId w:val="38"/>
              </w:numPr>
              <w:contextualSpacing w:val="0"/>
              <w:ind w:left="0" w:right="-144" w:firstLine="0"/>
              <w:jc w:val="both"/>
              <w:spacing w:before="0" w:beforeAutospacing="0" w:after="0" w:afterAutospacing="0" w:line="240" w:lineRule="auto"/>
              <w:tabs>
                <w:tab w:val="left" w:pos="0" w:leader="none"/>
              </w:tabs>
              <w:rPr>
                <w:rFonts w:ascii="FreeSerif" w:hAnsi="FreeSerif" w:cs="FreeSerif"/>
                <w:bCs/>
                <w:color w:val="000000" w:themeColor="text1"/>
                <w:sz w:val="28"/>
                <w:szCs w:val="28"/>
              </w:rPr>
              <w:suppressLineNumbers w:val="0"/>
            </w:pPr>
            <w:r>
              <w:rPr>
                <w:rFonts w:ascii="FreeSerif" w:hAnsi="FreeSerif" w:eastAsia="FreeSerif" w:cs="FreeSerif"/>
                <w:bCs/>
                <w:color w:val="000000" w:themeColor="text1"/>
                <w:sz w:val="28"/>
                <w:szCs w:val="28"/>
              </w:rPr>
              <w:t xml:space="preserve">способствовать обеспечению условий для организации и проведения мероприятий, направленных на формирование у детей стремления к ведению здорового образа жизни; повышать значимость и престижность здорового поведения через систему воспитательных мероприятий;</w:t>
            </w:r>
            <w:r>
              <w:rPr>
                <w:rFonts w:ascii="FreeSerif" w:hAnsi="FreeSerif" w:cs="FreeSerif"/>
                <w:bCs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Cs/>
                <w:color w:val="000000" w:themeColor="text1"/>
                <w:sz w:val="28"/>
                <w:szCs w:val="28"/>
              </w:rPr>
            </w:r>
          </w:p>
          <w:p>
            <w:pPr>
              <w:pStyle w:val="958"/>
              <w:numPr>
                <w:ilvl w:val="0"/>
                <w:numId w:val="38"/>
              </w:numPr>
              <w:contextualSpacing w:val="0"/>
              <w:ind w:left="0" w:firstLine="0"/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 проведение коммуникационных кампаний, направленных на повышение ответственности граждан за свое здоровье, осознание ценности человеческой жизни и здоровья, формирование культуры здоровья в различных возрастных и социальных группах;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pStyle w:val="958"/>
              <w:numPr>
                <w:ilvl w:val="0"/>
                <w:numId w:val="38"/>
              </w:numPr>
              <w:contextualSpacing w:val="0"/>
              <w:ind w:left="0" w:firstLine="0"/>
              <w:jc w:val="both"/>
              <w:spacing w:before="0" w:beforeAutospacing="0" w:after="0" w:afterAutospacing="0" w:line="240" w:lineRule="auto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 проведение информационно-коммуникационных кампаний, направленных на организацию здорового питания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, защиту от табачного дыма, снижение потребления алкоголя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;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eastAsia="ru-RU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eastAsia="ru-RU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pStyle w:val="958"/>
              <w:numPr>
                <w:ilvl w:val="0"/>
                <w:numId w:val="38"/>
              </w:numPr>
              <w:contextualSpacing w:val="0"/>
              <w:ind w:left="0" w:firstLine="0"/>
              <w:jc w:val="both"/>
              <w:spacing w:before="0" w:beforeAutospacing="0" w:after="0" w:afterAutospacing="0" w:line="240" w:lineRule="auto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привлечение населения к выполнению нормативов Всероссийского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eastAsia="ru-RU"/>
              </w:rPr>
              <w:t xml:space="preserve">физкультурно-спортивного комплекса «Готов к труду и обороне» (ГТО).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eastAsia="ru-RU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ind w:left="0" w:firstLine="0"/>
              <w:jc w:val="both"/>
              <w:spacing w:before="0" w:beforeAutospacing="0" w:after="0" w:afterAutospacing="0" w:line="240" w:lineRule="auto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eastAsia="ru-RU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eastAsia="ru-RU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46"/>
              <w:jc w:val="left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lang w:val="ru-RU" w:eastAsia="en-US" w:bidi="ar-SA"/>
              </w:rPr>
              <w:t xml:space="preserve">Перечень целевых показателей муниципальной программы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40"/>
              </w:numPr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снижение смертности трудоспособного населения от онкологических заболеваний;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shd w:val="clear" w:color="auto" w:fill="ffffff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pStyle w:val="959"/>
              <w:numPr>
                <w:ilvl w:val="0"/>
                <w:numId w:val="40"/>
              </w:numPr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снижение смертности от хронических неинфекционных заболеваний и от внешних причин;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shd w:val="clear" w:color="auto" w:fill="ffffff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pStyle w:val="959"/>
              <w:numPr>
                <w:ilvl w:val="0"/>
                <w:numId w:val="40"/>
              </w:numPr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увеличение посещаемости отделения медицинской профилактики и кабинета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 отказа от курения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;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shd w:val="clear" w:color="auto" w:fill="ffffff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pStyle w:val="959"/>
              <w:numPr>
                <w:ilvl w:val="0"/>
                <w:numId w:val="40"/>
              </w:numPr>
              <w:ind w:left="0" w:firstLine="0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  <w:lang w:val="ru-RU" w:bidi="ar-SA"/>
              </w:rPr>
              <w:t xml:space="preserve">выполнение плана по диспансеризации и профилактическим медицинским осмотрам;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lang w:val="ru-RU" w:bidi="ar-SA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shd w:val="clear" w:color="auto" w:fill="ffffff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lang w:val="ru-RU" w:bidi="ar-SA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pStyle w:val="958"/>
              <w:numPr>
                <w:ilvl w:val="0"/>
                <w:numId w:val="40"/>
              </w:numPr>
              <w:ind w:left="0" w:firstLine="0"/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  <w:lang w:eastAsia="ru-RU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  <w:t xml:space="preserve">д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  <w:t xml:space="preserve">оля граждан,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  <w:t xml:space="preserve">ведущих здоровый образ жизни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  <w:t xml:space="preserve">,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  <w:t xml:space="preserve"> 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  <w:t xml:space="preserve">систематически занимающихся физической культурой и спортом,  (%) с 47 в 2025 г. до 50 в 2030 г.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</w:p>
          <w:p>
            <w:pPr>
              <w:pStyle w:val="959"/>
              <w:jc w:val="both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46"/>
              <w:jc w:val="left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Этапы и сроки реализации муниципальной программы 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  <w:p>
            <w:pPr>
              <w:pStyle w:val="946"/>
              <w:jc w:val="left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59"/>
              <w:jc w:val="left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shd w:val="clear" w:color="auto" w:fill="ffffff"/>
                <w:lang w:val="ru-RU" w:bidi="ar-SA"/>
              </w:rPr>
              <w:t xml:space="preserve">2025 – 2030 годы без деления на этапы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</w:p>
          <w:p>
            <w:pPr>
              <w:pStyle w:val="959"/>
              <w:jc w:val="left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</w:p>
          <w:p>
            <w:pPr>
              <w:pStyle w:val="959"/>
              <w:jc w:val="left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shd w:val="clear" w:color="auto" w:fill="ffffff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3538" w:type="dxa"/>
            <w:textDirection w:val="lrTb"/>
            <w:noWrap w:val="false"/>
          </w:tcPr>
          <w:p>
            <w:pPr>
              <w:pStyle w:val="946"/>
              <w:jc w:val="left"/>
              <w:spacing w:before="0" w:beforeAutospacing="0" w:after="0" w:afterAutospacing="0" w:line="240" w:lineRule="auto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lang w:val="ru-RU" w:eastAsia="en-US" w:bidi="ar-SA"/>
              </w:rPr>
              <w:t xml:space="preserve">Объемы бюджетных ассигнований муниципальной программы, всего, в том числе по годам и источникам финансирования 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5806" w:type="dxa"/>
            <w:textDirection w:val="lrTb"/>
            <w:noWrap w:val="false"/>
          </w:tcPr>
          <w:p>
            <w:pPr>
              <w:pStyle w:val="959"/>
              <w:jc w:val="left"/>
              <w:spacing w:before="0" w:beforeAutospacing="0" w:after="0" w:afterAutospacing="0"/>
              <w:shd w:val="clear" w:color="auto" w:fill="ffffff"/>
              <w:widowControl w:val="off"/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  <w:shd w:val="clear" w:color="auto" w:fill="ffffff"/>
              </w:rPr>
              <w:t xml:space="preserve">Не предусмотрены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  <w:highlight w:val="white"/>
                <w:shd w:val="clear" w:color="auto" w:fill="ffffff"/>
              </w:rPr>
            </w:r>
          </w:p>
        </w:tc>
      </w:tr>
    </w:tbl>
    <w:p>
      <w:pPr>
        <w:pStyle w:val="959"/>
        <w:ind w:left="0" w:firstLine="0"/>
        <w:jc w:val="left"/>
        <w:spacing w:before="0" w:beforeAutospacing="0" w:after="0" w:afterAutospacing="0"/>
        <w:rPr>
          <w:rFonts w:ascii="FreeSerif" w:hAnsi="FreeSerif" w:cs="FreeSerif"/>
          <w:b/>
          <w:bCs/>
          <w:color w:val="000000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</w:p>
    <w:p>
      <w:pPr>
        <w:pStyle w:val="959"/>
        <w:numPr>
          <w:ilvl w:val="0"/>
          <w:numId w:val="3"/>
        </w:numPr>
        <w:jc w:val="center"/>
        <w:spacing w:before="0" w:beforeAutospacing="0" w:after="0" w:afterAutospacing="0"/>
        <w:rPr>
          <w:rFonts w:ascii="FreeSerif" w:hAnsi="FreeSerif" w:cs="FreeSerif"/>
          <w:b/>
          <w:bCs/>
          <w:color w:val="000000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/>
          <w:sz w:val="28"/>
          <w:szCs w:val="28"/>
        </w:rPr>
        <w:t xml:space="preserve">Характеристика текущего состояния и прогноз развития </w:t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</w:p>
    <w:p>
      <w:pPr>
        <w:pStyle w:val="959"/>
        <w:numPr>
          <w:ilvl w:val="0"/>
          <w:numId w:val="0"/>
        </w:numPr>
        <w:ind w:left="720" w:firstLine="0"/>
        <w:jc w:val="center"/>
        <w:spacing w:before="0" w:beforeAutospacing="0" w:after="0" w:afterAutospacing="0"/>
        <w:rPr>
          <w:rFonts w:ascii="FreeSerif" w:hAnsi="FreeSerif" w:cs="FreeSerif"/>
          <w:b/>
          <w:bCs/>
          <w:color w:val="000000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/>
          <w:sz w:val="28"/>
          <w:szCs w:val="28"/>
        </w:rPr>
        <w:t xml:space="preserve">соответствующей сферы реализации  муниципальной программы</w:t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  <w:r>
        <w:rPr>
          <w:rFonts w:ascii="FreeSerif" w:hAnsi="FreeSerif" w:cs="FreeSerif"/>
          <w:b/>
          <w:bCs/>
          <w:color w:val="000000"/>
          <w:sz w:val="28"/>
          <w:szCs w:val="28"/>
        </w:rPr>
      </w:r>
    </w:p>
    <w:p>
      <w:pPr>
        <w:pStyle w:val="959"/>
        <w:ind w:firstLine="0"/>
        <w:jc w:val="both"/>
        <w:spacing w:before="0" w:beforeAutospacing="0" w:after="0" w:afterAutospacing="0"/>
        <w:rPr>
          <w:rFonts w:ascii="FreeSerif" w:hAnsi="FreeSerif" w:cs="FreeSerif"/>
          <w:color w:val="000000"/>
          <w:sz w:val="28"/>
          <w:szCs w:val="28"/>
        </w:rPr>
      </w:pP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</w:rPr>
      </w:r>
      <w:r>
        <w:rPr>
          <w:rFonts w:ascii="FreeSerif" w:hAnsi="FreeSerif" w:cs="FreeSerif"/>
          <w:color w:val="000000"/>
          <w:sz w:val="28"/>
          <w:szCs w:val="28"/>
        </w:rPr>
      </w:r>
    </w:p>
    <w:p>
      <w:pPr>
        <w:pStyle w:val="946"/>
        <w:ind w:left="0" w:right="0" w:firstLine="709"/>
        <w:jc w:val="both"/>
        <w:spacing w:before="0" w:after="0" w:line="240" w:lineRule="auto"/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white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Муниципальная программа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«Укрепление общественного здоровья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в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Ленинградском муниципальном округе»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(далее Муниципальная программа)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разработана в связи с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необходимостью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достижения высокого уровня здоровья настоящих и будущих поколений жите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лей Ленинградского 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, в том числе формирования ответственного отношения населения к своему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здоровью, создания условий для ведения здорового образа жизни.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white"/>
        </w:rPr>
      </w:r>
    </w:p>
    <w:p>
      <w:pPr>
        <w:ind w:firstLine="709"/>
        <w:jc w:val="both"/>
        <w:spacing w:after="0" w:line="240" w:lineRule="auto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Муниципальная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 п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рограмма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подготовлена 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в целях реализации регионального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проекта «Здоровье для каждого» национального проекта «Продолжительная 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активная жизнь» на период 2025-2030 гг.  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составлена в соответствии с рекомендациями по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разработке, внедрению и оценке эффективности муниципальных программ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«Модельные муниципальные программы укрепления общественного здоровья»,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 разработанными Федеральным государственным бюджетным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учреждением «Национальный медицинский исследовательский центр терапии 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профилактической медицины» Минздрава России (ФГБУ «НМИЦ ТПМ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» Минздрава России).</w:t>
      </w:r>
      <w:r>
        <w:rPr>
          <w:rFonts w:ascii="FreeSerif" w:hAnsi="FreeSerif" w:cs="FreeSerif"/>
          <w:color w:val="000000" w:themeColor="text1"/>
        </w:rPr>
      </w:r>
    </w:p>
    <w:p>
      <w:pPr>
        <w:ind w:firstLine="709"/>
        <w:jc w:val="both"/>
        <w:spacing w:after="0" w:line="240" w:lineRule="auto"/>
        <w:rPr>
          <w:rFonts w:ascii="FreeSerif" w:hAnsi="FreeSerif" w:cs="FreeSerif"/>
          <w:color w:val="000000" w:themeColor="text1"/>
        </w:rP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Состояние здоровья - это важный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показатель социального, экономического и экологического благополучия, пока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затель качества жизни населения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Ленинградского 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 Существенным фактором, определяющим состояние здоровья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населения, является поддержание оптимальной физической активности в тече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ние всей жизни каждого гражданина.</w:t>
      </w:r>
      <w:r>
        <w:rPr>
          <w:rFonts w:ascii="FreeSerif" w:hAnsi="FreeSerif" w:cs="FreeSerif"/>
          <w:color w:val="000000" w:themeColor="text1"/>
        </w:rPr>
      </w:r>
      <w:r/>
    </w:p>
    <w:p>
      <w:pPr>
        <w:ind w:firstLine="0"/>
        <w:jc w:val="both"/>
        <w:spacing w:after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Представленная Муниципальная программа призвана способствовать более полному удо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влетворению потребностей населения Ленинградского 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в формировании благоприятной для жизни и здоровья среды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обитания (социальной, психологической, информационной, экологической),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формированию культуры здоровья населения округа и ответственного отноше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ния к своему физическому и психологическому здоровью.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Хронические неинфекционные заболевания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 (ХНИЗ) являются основными вызовами для общественного здоровья, ведущими причинами инвалидности и смертности населения и оказывают выраженное негативное воздействие на социально-экономическое положение. Инвестиции в здоровье людей, прежде всего в рамках ме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р популяционной профилактики, направленных на формирование здорового образа жизни населения, приводят к значительному экономическому эффекту за счет сокращения затрат на медицинскую помощь, сохранения трудовых ресурсов и повышения производительности труда.</w:t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firstLine="709"/>
        <w:jc w:val="both"/>
        <w:spacing w:after="0" w:line="240" w:lineRule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Муниципальная программа включает в себя оценку демографического потенциала Ленинградского  муниципального округа,</w:t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 состояние здоровья населения, его тенденции, распространенность факторов риска разв</w:t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ития заболеван</w:t>
      </w:r>
      <w:r>
        <w:rPr>
          <w:rFonts w:ascii="FreeSerif" w:hAnsi="FreeSerif" w:eastAsia="FreeSerif" w:cs="FreeSerif"/>
          <w:color w:val="000000" w:themeColor="text1"/>
          <w:sz w:val="28"/>
          <w:szCs w:val="28"/>
          <w14:ligatures w14:val="none"/>
        </w:rPr>
        <w:t xml:space="preserve">ий, смертность и ее основные причины, продолжительность жизни, рождаемость, территориальные особенности, социально-экономические показатели, элементы инфраструктуры, влияющие на состояние здоровья определение уязвимых групп населения, а также определение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14:ligatures w14:val="none"/>
        </w:rPr>
        <w:t xml:space="preserve"> ц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14:ligatures w14:val="none"/>
        </w:rPr>
        <w:t xml:space="preserve">елевых значений показателей  в Ленинградском муниципальном округе на период 2025 - 2030 годов.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/>
    </w:p>
    <w:p>
      <w:pPr>
        <w:ind w:firstLine="709"/>
        <w:jc w:val="both"/>
        <w:spacing w:after="0" w:line="240" w:lineRule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69"/>
        <w:ind w:left="0" w:right="9" w:firstLine="709"/>
        <w:jc w:val="center"/>
        <w:spacing w:before="0" w:after="0" w:line="240" w:lineRule="auto"/>
        <w:shd w:val="clear" w:color="auto" w:fill="auto"/>
        <w:tabs>
          <w:tab w:val="left" w:pos="8435" w:leader="none"/>
        </w:tabs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Географические особенности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pStyle w:val="969"/>
        <w:ind w:left="0" w:right="9" w:firstLine="709"/>
        <w:jc w:val="center"/>
        <w:spacing w:before="0" w:after="0" w:line="240" w:lineRule="auto"/>
        <w:shd w:val="clear" w:color="auto" w:fill="auto"/>
        <w:tabs>
          <w:tab w:val="left" w:pos="8435" w:leader="none"/>
        </w:tabs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(расположение, протяженность, климатические особенности)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/>
    </w:p>
    <w:p>
      <w:pPr>
        <w:pStyle w:val="969"/>
        <w:ind w:left="0" w:right="9" w:firstLine="709"/>
        <w:jc w:val="center"/>
        <w:spacing w:before="0" w:after="0" w:line="240" w:lineRule="auto"/>
        <w:shd w:val="clear" w:color="auto" w:fill="auto"/>
        <w:tabs>
          <w:tab w:val="left" w:pos="8435" w:leader="none"/>
        </w:tabs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before="0" w:after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Ленинградский муниципальный округ расположен в центральной части Кубано-Приазовской низменности, в северной зоне Краснодарского края. В частности, округ находится в северо-западной части Краснодарского края и граничит с Павловским, Староминским, Каневским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 Кущевским районами.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after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Административно-территориальное устройство Ленинградского муниципального округа  включает 3 станицы (Ленинградская, Крыловская и Новоплатнировская), 12 хуторов и 18 посёлков. Более половины населения округа проживает в районном центре -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станице Ленинградской (35 970 человек, что составляет 61% от общего числа жителей округа). Другие крупные населенные пункты: станица Крыловская (5 567 человек, 9% населения) и станица Новоплатнировская (3 129 человек, 5% населения). Наиболее удалённый насе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лённый пункт, хутор Коржи, находится на расстоянии 38 км от станицы Ленинградской.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Протяженность: п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лощадь Ленинградского муниципального округа составляет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1416,5 квадратных километров, п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ротяженность  с севера на юг составляет 45 километров,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 с запада на восток составляет  35 километров.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Климатические особенности: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климат  характеризуется как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умеренно-континентальный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, с чертами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степного климата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Лето-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продолжительное, теплое и солнечное. Средняя температура июля составляет около +23…+25 °C. Часто наблюдаются высокие температуры (выше +30 °C).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Зима:-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мягкая, неустойчивая, с частыми оттепелями. Средняя температура января составляет около -3…-5 °C. Возможны периоды с отрицательными температурами, сопровождающиеся снегопадами и гололедицей.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Ветровой режим: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Преобладают восточные и северо-восточные ветры, особенно в зимний период. Летом чаще наблюдаются западные и северо-западные ветры.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69"/>
        <w:ind w:left="0" w:right="9" w:firstLine="709"/>
        <w:jc w:val="center"/>
        <w:spacing w:before="0" w:after="0" w:line="240" w:lineRule="auto"/>
        <w:shd w:val="clear" w:color="auto" w:fill="auto"/>
        <w:tabs>
          <w:tab w:val="left" w:pos="8435" w:leader="none"/>
        </w:tabs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Демографическая характеристика (численность населения; половозрастная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структура).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69"/>
        <w:ind w:left="0" w:right="9" w:firstLine="709"/>
        <w:jc w:val="center"/>
        <w:spacing w:before="0" w:after="0" w:line="240" w:lineRule="auto"/>
        <w:shd w:val="clear" w:color="auto" w:fill="auto"/>
        <w:tabs>
          <w:tab w:val="left" w:pos="8435" w:leader="none"/>
        </w:tabs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before="0" w:after="0" w:line="240" w:lineRule="auto"/>
        <w:shd w:val="clear" w:color="ffffff" w:fill="ffffff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 2014 года численность населения Ленинградского муниципального округа колеблется от 63 264 до 58 628 человек.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Это указывает на необходимость более детального изучения факторов, влияющих на демографическую ситуацию, таких как рождаемость, смертность и миграция.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pStyle w:val="959"/>
        <w:numPr>
          <w:ilvl w:val="0"/>
          <w:numId w:val="0"/>
        </w:numPr>
        <w:ind w:left="142" w:right="9" w:firstLine="0"/>
        <w:jc w:val="right"/>
        <w:spacing w:before="0" w:beforeAutospacing="0" w:after="0" w:afterAutospacing="0"/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  <w:t xml:space="preserve">Таблица 1</w:t>
      </w: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</w:p>
    <w:p>
      <w:pPr>
        <w:pStyle w:val="959"/>
        <w:numPr>
          <w:ilvl w:val="0"/>
          <w:numId w:val="0"/>
        </w:numPr>
        <w:ind w:left="0" w:right="9" w:firstLine="0"/>
        <w:jc w:val="both"/>
        <w:spacing w:before="0" w:beforeAutospacing="0" w:after="0" w:afterAutospacing="0"/>
        <w:rPr>
          <w:rFonts w:ascii="FreeSerif" w:hAnsi="FreeSerif" w:cs="FreeSerif"/>
          <w:color w:val="000000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</w:p>
    <w:tbl>
      <w:tblPr>
        <w:tblStyle w:val="967"/>
        <w:tblW w:w="0" w:type="auto"/>
        <w:tblLayout w:type="fixed"/>
        <w:tblLook w:val="04A0" w:firstRow="1" w:lastRow="0" w:firstColumn="1" w:lastColumn="0" w:noHBand="0" w:noVBand="1"/>
      </w:tblPr>
      <w:tblGrid>
        <w:gridCol w:w="2409"/>
        <w:gridCol w:w="1417"/>
        <w:gridCol w:w="992"/>
        <w:gridCol w:w="1276"/>
        <w:gridCol w:w="992"/>
        <w:gridCol w:w="1276"/>
        <w:gridCol w:w="1164"/>
      </w:tblGrid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Возраст/</w:t>
            </w: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пол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gridSpan w:val="2"/>
            <w:tcW w:w="2409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Мужчины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gridSpan w:val="2"/>
            <w:tcW w:w="2268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Женщины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gridSpan w:val="2"/>
            <w:tcW w:w="2440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Всего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</w:tr>
      <w:tr>
        <w:tblPrEx/>
        <w:trPr>
          <w:trHeight w:val="1609"/>
        </w:trPr>
        <w:tc>
          <w:tcPr>
            <w:tcW w:w="2409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1417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Количество человек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Доля от всех мужчин (%)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Количество человек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Доля от всех женщин (%)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Количество человек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164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Доля от всего населения (%)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</w:tr>
      <w:tr>
        <w:tblPrEx/>
        <w:trPr>
          <w:trHeight w:val="348"/>
        </w:trPr>
        <w:tc>
          <w:tcPr>
            <w:tcW w:w="2409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0-17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5784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5617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11401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164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18-24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2179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2714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4893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164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25-34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3250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52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3025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6275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164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35-44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4274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4056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8330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164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45-54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3704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4164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53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7868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164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13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55-64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3715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4589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8304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164" w:type="dxa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65-69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1599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2268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3867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164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/>
                <w:sz w:val="28"/>
                <w:szCs w:val="28"/>
                <w:highlight w:val="none"/>
              </w:rPr>
              <w:t xml:space="preserve">70 +</w:t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2509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32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5261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68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7770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164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13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pStyle w:val="959"/>
              <w:numPr>
                <w:ilvl w:val="0"/>
                <w:numId w:val="0"/>
              </w:num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/>
                <w:bCs/>
                <w:color w:val="000000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b/>
                <w:bCs/>
                <w:color w:val="000000"/>
                <w:sz w:val="28"/>
                <w:szCs w:val="28"/>
                <w:highlight w:val="none"/>
              </w:rPr>
              <w:t xml:space="preserve">Итого</w:t>
            </w:r>
            <w:r>
              <w:rPr>
                <w:rFonts w:ascii="FreeSerif" w:hAnsi="FreeSerif" w:cs="FreeSerif"/>
                <w:b/>
                <w:bCs/>
                <w:color w:val="000000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b/>
                <w:bCs/>
                <w:color w:val="000000"/>
                <w:sz w:val="28"/>
                <w:szCs w:val="28"/>
                <w:highlight w:val="none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b/>
                <w:bCs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bCs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27014</w:t>
            </w:r>
            <w:r>
              <w:rPr>
                <w:rFonts w:ascii="FreeSerif" w:hAnsi="FreeSerif" w:cs="FreeSerif"/>
                <w:b/>
                <w:bCs/>
                <w:sz w:val="28"/>
                <w:szCs w:val="28"/>
              </w:rPr>
            </w:r>
            <w:r>
              <w:rPr>
                <w:rFonts w:ascii="FreeSerif" w:hAnsi="FreeSerif" w:cs="FreeSerif"/>
                <w:b/>
                <w:bCs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b/>
                <w:bCs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bCs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46</w:t>
            </w:r>
            <w:r>
              <w:rPr>
                <w:rFonts w:ascii="FreeSerif" w:hAnsi="FreeSerif" w:cs="FreeSerif"/>
                <w:b/>
                <w:bCs/>
                <w:sz w:val="28"/>
                <w:szCs w:val="28"/>
              </w:rPr>
            </w:r>
            <w:r>
              <w:rPr>
                <w:rFonts w:ascii="FreeSerif" w:hAnsi="FreeSerif" w:cs="FreeSerif"/>
                <w:b/>
                <w:bCs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b/>
                <w:bCs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bCs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31694</w:t>
            </w:r>
            <w:r>
              <w:rPr>
                <w:rFonts w:ascii="FreeSerif" w:hAnsi="FreeSerif" w:cs="FreeSerif"/>
                <w:b/>
                <w:bCs/>
                <w:sz w:val="28"/>
                <w:szCs w:val="28"/>
              </w:rPr>
            </w:r>
            <w:r>
              <w:rPr>
                <w:rFonts w:ascii="FreeSerif" w:hAnsi="FreeSerif" w:cs="FreeSerif"/>
                <w:b/>
                <w:bCs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b/>
                <w:bCs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bCs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54</w:t>
            </w:r>
            <w:r>
              <w:rPr>
                <w:rFonts w:ascii="FreeSerif" w:hAnsi="FreeSerif" w:cs="FreeSerif"/>
                <w:b/>
                <w:bCs/>
                <w:sz w:val="28"/>
                <w:szCs w:val="28"/>
              </w:rPr>
            </w:r>
            <w:r>
              <w:rPr>
                <w:rFonts w:ascii="FreeSerif" w:hAnsi="FreeSerif" w:cs="FreeSerif"/>
                <w:b/>
                <w:bCs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b/>
                <w:bCs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bCs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58708</w:t>
            </w:r>
            <w:r>
              <w:rPr>
                <w:rFonts w:ascii="FreeSerif" w:hAnsi="FreeSerif" w:cs="FreeSerif"/>
                <w:b/>
                <w:bCs/>
                <w:sz w:val="28"/>
                <w:szCs w:val="28"/>
              </w:rPr>
            </w:r>
            <w:r>
              <w:rPr>
                <w:rFonts w:ascii="FreeSerif" w:hAnsi="FreeSerif" w:cs="FreeSerif"/>
                <w:b/>
                <w:bCs/>
                <w:sz w:val="28"/>
                <w:szCs w:val="28"/>
              </w:rPr>
            </w:r>
          </w:p>
        </w:tc>
        <w:tc>
          <w:tcPr>
            <w:tcW w:w="1164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eastAsia="FreeSerif" w:cs="FreeSerif"/>
                <w:b/>
                <w:bCs w:val="0"/>
                <w:i w:val="0"/>
                <w:strike w:val="0"/>
                <w:color w:val="000000"/>
                <w:sz w:val="28"/>
                <w:szCs w:val="28"/>
                <w:highlight w:val="none"/>
                <w:u w:val="none"/>
                <w:vertAlign w:val="baseline"/>
              </w:rPr>
            </w:pPr>
            <w:r>
              <w:rPr>
                <w:rFonts w:ascii="FreeSerif" w:hAnsi="FreeSerif" w:eastAsia="FreeSerif" w:cs="FreeSerif"/>
                <w:b/>
                <w:bCs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100</w:t>
            </w:r>
            <w:r>
              <w:rPr>
                <w:rFonts w:ascii="FreeSerif" w:hAnsi="FreeSerif" w:cs="FreeSerif"/>
                <w:b/>
                <w:bCs/>
                <w:sz w:val="28"/>
                <w:szCs w:val="28"/>
              </w:rPr>
            </w:r>
            <w:r>
              <w:rPr>
                <w:rFonts w:ascii="FreeSerif" w:hAnsi="FreeSerif" w:eastAsia="FreeSerif" w:cs="FreeSerif"/>
                <w:b/>
                <w:bCs w:val="0"/>
                <w:i w:val="0"/>
                <w:strike w:val="0"/>
                <w:color w:val="000000"/>
                <w:sz w:val="28"/>
                <w:szCs w:val="28"/>
                <w:highlight w:val="none"/>
                <w:u w:val="none"/>
                <w:vertAlign w:val="baseline"/>
              </w:rPr>
            </w:r>
          </w:p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b/>
                <w:bCs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bCs/>
                <w:i w:val="0"/>
                <w:strike w:val="0"/>
                <w:color w:val="000000"/>
                <w:sz w:val="28"/>
                <w:szCs w:val="28"/>
                <w:highlight w:val="none"/>
                <w:u w:val="none"/>
                <w:vertAlign w:val="baseline"/>
              </w:rPr>
            </w:r>
            <w:r>
              <w:rPr>
                <w:rFonts w:ascii="FreeSerif" w:hAnsi="FreeSerif" w:eastAsia="FreeSerif" w:cs="FreeSerif"/>
                <w:b/>
                <w:bCs/>
                <w:i w:val="0"/>
                <w:strike w:val="0"/>
                <w:color w:val="000000"/>
                <w:sz w:val="28"/>
                <w:szCs w:val="28"/>
                <w:highlight w:val="none"/>
                <w:u w:val="none"/>
                <w:vertAlign w:val="baseline"/>
              </w:rPr>
            </w:r>
          </w:p>
        </w:tc>
      </w:tr>
      <w:tr>
        <w:tblPrEx/>
        <w:trPr>
          <w:trHeight w:val="942"/>
        </w:trPr>
        <w:tc>
          <w:tcPr>
            <w:tcW w:w="2409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моложе трудоспособного возраста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5021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4898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9919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164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трудоспособный возраст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17094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52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15826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32920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164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56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2409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старше трудоспособного возраста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417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4899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31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10970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992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69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276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15869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1164" w:type="dxa"/>
            <w:vMerge w:val="restart"/>
            <w:textDirection w:val="lrTb"/>
            <w:noWrap w:val="false"/>
          </w:tcPr>
          <w:p>
            <w:pPr>
              <w:jc w:val="both"/>
              <w:spacing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8"/>
                <w:szCs w:val="28"/>
                <w:u w:val="none"/>
                <w:vertAlign w:val="baseline"/>
              </w:rPr>
              <w:t xml:space="preserve">27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</w:tbl>
    <w:p>
      <w:pPr>
        <w:ind w:left="0" w:right="0" w:firstLine="709"/>
        <w:jc w:val="both"/>
        <w:spacing w:before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Половая структура: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представленных данных зафиксировано преобладание женского населения (31 694 человека или 54%) над мужским (27 014 человек или 46%). Это характерно для большинства регионов, особенно в старших возрастных группах, что связано с большей продолжительностью ж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изни женщин.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Анализ возрастной структуры показывает следующее: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8"/>
        </w:numPr>
        <w:contextualSpacing w:val="0"/>
        <w:ind w:left="0" w:right="0" w:firstLine="709"/>
        <w:jc w:val="both"/>
        <w:spacing w:after="0" w:afterAutospacing="0" w:line="240" w:lineRule="auto"/>
        <w:shd w:val="clear" w:color="ffffff" w:themeColor="background1" w:fill="ffffff" w:themeFill="background1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Возраст 0-17 лет: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Представляет собой значительную часть населения (11 401 человек или 19%), что свидетельствует о наличии потенциала для будущего роста трудоспособного населения. Соотношение полов в этой группе практически равное (51% мужчин и 49% женщин).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8"/>
        </w:numPr>
        <w:contextualSpacing w:val="0"/>
        <w:ind w:left="0" w:right="0" w:firstLine="709"/>
        <w:jc w:val="both"/>
        <w:spacing w:after="0" w:afterAutospacing="0" w:line="240" w:lineRule="auto"/>
        <w:shd w:val="clear" w:color="ffffff" w:themeColor="background1" w:fill="ffffff" w:themeFill="background1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Возраст 18-24 года: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Самая малочисленная возрастная группа (4893 человека или 8%). Соотношение мужчин и женщин (45% и 55%) отражает  отток мужчин для обучения или работы за пределы округа,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/>
    </w:p>
    <w:p>
      <w:pPr>
        <w:pStyle w:val="958"/>
        <w:numPr>
          <w:ilvl w:val="0"/>
          <w:numId w:val="8"/>
        </w:numPr>
        <w:contextualSpacing w:val="0"/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Возраст 25-34 года: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Составляет 6275 человек (11%). Эта группа важна с точки зрения экономического развития и потенциала для воспроизводства населения. Соотношение полов близкое к равному (52% мужчин и 48% женщин).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8"/>
        </w:numPr>
        <w:contextualSpacing w:val="0"/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Возраст 35-44 года: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Одна из наиболее многочисленных возрастных групп (8330 человек или 14%). Это основная трудоспособная группа, вносящая значительный вклад в экономику округа. Соотношение полов близкое к равному (51% мужчин и 49% женщин).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8"/>
        </w:numPr>
        <w:contextualSpacing w:val="0"/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Возраст 45-54 года: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Также одна из наиболее многочисленных (7868 человек или 13%). Это группа работников с опытом и квалификацией. Наблюдается небольшое преобладание женщин (47% мужчин и 53% женщин).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8"/>
        </w:numPr>
        <w:contextualSpacing w:val="0"/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Возраст 55-64 года: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Одна из самых больших возрастных групп (8304 человека или 14%). Увеличение доли женского населения (45% мужчин и 55% женщин) является показателем увеличения продолжительности жизни женщин.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8"/>
        </w:numPr>
        <w:contextualSpacing w:val="0"/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Возраст 65-69 лет: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Составляет 3867 человек (7%). Значительно преобладают женщины (41% мужчин и 59% женщин).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8"/>
        </w:numPr>
        <w:contextualSpacing w:val="0"/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Возраст 70+ лет: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Самая большая разница в соотношении полов и значительная доля населения - 7770 человек (13%). Женщины составляют значительное большинство (32% мужчин и 68% женщин).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по трудоспособности: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9"/>
        </w:numPr>
        <w:contextualSpacing w:val="0"/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Моложе трудоспособного возраста: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Составляет 9919 человек (17% населения). Это ресурс для будущего трудового потенциала, требующий внимания к вопросам образования, здравоохранения и социальной адаптации.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9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Трудоспособный возраст: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Составляет 32920 человек (56% населения). Это экономически активное население, являющееся основой экономики округа.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9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Старше трудоспособного возраста: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Составляет 15869 человек (27% населения). Требует особого внимания к вопросам здравоохранения, социального обеспечения и создания условий для активного долголетия.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Наибольшие по численности возрастные группы по полу: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0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Мужчины: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Возрастная группа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35-44 года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(4274 человека или 51% от всех мужчин) является самой многочисленной.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0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Женщины: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Возрастная группа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70+ лет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(5261 человек или 68% от всех женщин) является самой многочисленной.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9"/>
        <w:ind w:left="0" w:right="0" w:firstLine="709"/>
        <w:jc w:val="both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 территории Ленинградского муниципального округа не проходят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федеральные автомобильные дороги, протяженность региональных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автомобильных дорог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составляет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</w:rPr>
        <w:t xml:space="preserve">74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км.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pStyle w:val="959"/>
        <w:ind w:left="0" w:right="0" w:firstLine="709"/>
        <w:jc w:val="both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eastAsia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pStyle w:val="959"/>
        <w:ind w:left="142" w:right="9" w:firstLine="578"/>
        <w:jc w:val="both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highlight w:val="none"/>
        </w:rPr>
      </w:pPr>
      <w:r>
        <w:rPr>
          <w:highlight w:val="non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2048" behindDoc="0" locked="0" layoutInCell="1" allowOverlap="1">
                <wp:simplePos x="0" y="0"/>
                <wp:positionH relativeFrom="column">
                  <wp:posOffset>-9590</wp:posOffset>
                </wp:positionH>
                <wp:positionV relativeFrom="paragraph">
                  <wp:posOffset>89492</wp:posOffset>
                </wp:positionV>
                <wp:extent cx="6057900" cy="3727588"/>
                <wp:effectExtent l="6350" t="6350" r="6350" b="6350"/>
                <wp:wrapNone/>
                <wp:docPr id="1" name="_x0000_i102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27441730" name=""/>
                        <pic:cNvPicPr/>
                        <pic:nvPr/>
                      </pic:nvPicPr>
                      <pic:blipFill>
                        <a:blip r:embed="rId13"/>
                        <a:stretch/>
                      </pic:blipFill>
                      <pic:spPr bwMode="auto">
                        <a:xfrm rot="0" flipH="0" flipV="0">
                          <a:off x="0" y="0"/>
                          <a:ext cx="6057900" cy="37275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z-index:2048;o:allowoverlap:true;o:allowincell:true;mso-position-horizontal-relative:text;margin-left:-0.76pt;mso-position-horizontal:absolute;mso-position-vertical-relative:text;margin-top:7.05pt;mso-position-vertical:absolute;width:477.00pt;height:293.51pt;mso-wrap-distance-left:9.07pt;mso-wrap-distance-top:0.00pt;mso-wrap-distance-right:9.07pt;mso-wrap-distance-bottom:0.00pt;rotation:0;" stroked="f">
                <v:path textboxrect="0,0,0,0"/>
                <v:imagedata r:id="rId13" o:title=""/>
              </v:shape>
            </w:pict>
          </mc:Fallback>
        </mc:AlternateContent>
      </w:r>
      <w:r>
        <w:rPr>
          <w:highlight w:val="none"/>
        </w:rPr>
      </w:r>
      <w:r>
        <w:rPr>
          <w:highlight w:val="none"/>
        </w:rPr>
      </w:r>
    </w:p>
    <w:p>
      <w:pPr>
        <w:pStyle w:val="959"/>
        <w:ind w:left="142" w:right="9" w:firstLine="578"/>
        <w:jc w:val="both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59"/>
        <w:ind w:left="142" w:right="9" w:firstLine="578"/>
        <w:jc w:val="both"/>
        <w:spacing w:before="0" w:beforeAutospacing="0" w:after="0" w:afterAutospacing="0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  <w:highlight w:val="none"/>
        </w:rPr>
      </w:r>
    </w:p>
    <w:p>
      <w:pPr>
        <w:pStyle w:val="959"/>
        <w:ind w:left="142" w:right="9" w:firstLine="578"/>
        <w:jc w:val="both"/>
        <w:spacing w:before="0" w:beforeAutospacing="0" w:after="0" w:afterAutospacing="0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/>
          <w:sz w:val="28"/>
          <w:szCs w:val="28"/>
        </w:rPr>
      </w:pPr>
      <w:r>
        <w:rPr>
          <w:rFonts w:ascii="FreeSerif" w:hAnsi="FreeSerif" w:eastAsia="FreeSerif" w:cs="FreeSerif"/>
          <w:color w:val="000000"/>
          <w:sz w:val="28"/>
          <w:szCs w:val="28"/>
        </w:rPr>
      </w:r>
      <w:r>
        <w:rPr>
          <w:rFonts w:ascii="FreeSerif" w:hAnsi="FreeSerif" w:cs="FreeSerif"/>
          <w:color w:val="000000"/>
          <w:sz w:val="28"/>
          <w:szCs w:val="28"/>
        </w:rPr>
      </w:r>
      <w:r>
        <w:rPr>
          <w:rFonts w:ascii="FreeSerif" w:hAnsi="FreeSerif" w:cs="FreeSerif"/>
          <w:color w:val="000000"/>
          <w:sz w:val="28"/>
          <w:szCs w:val="28"/>
        </w:rPr>
      </w:r>
    </w:p>
    <w:p>
      <w:pPr>
        <w:pStyle w:val="959"/>
        <w:ind w:left="142" w:right="9" w:firstLine="578"/>
        <w:jc w:val="both"/>
        <w:spacing w:before="0" w:beforeAutospacing="0" w:after="0" w:afterAutospacing="0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/>
          <w:sz w:val="28"/>
          <w:szCs w:val="28"/>
        </w:rPr>
      </w:pPr>
      <w:r>
        <w:rPr>
          <w:rFonts w:ascii="FreeSerif" w:hAnsi="FreeSerif" w:eastAsia="FreeSerif" w:cs="FreeSerif"/>
          <w:color w:val="000000"/>
          <w:sz w:val="28"/>
          <w:szCs w:val="28"/>
          <w:highlight w:val="none"/>
        </w:rPr>
      </w:r>
      <w:r>
        <w:rPr>
          <w:rFonts w:ascii="FreeSerif" w:hAnsi="FreeSerif" w:cs="FreeSerif"/>
          <w:color w:val="000000"/>
          <w:sz w:val="28"/>
          <w:szCs w:val="28"/>
        </w:rPr>
      </w:r>
      <w:r>
        <w:rPr>
          <w:rFonts w:ascii="FreeSerif" w:hAnsi="FreeSerif" w:cs="FreeSerif"/>
          <w:color w:val="000000"/>
          <w:sz w:val="28"/>
          <w:szCs w:val="28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0"/>
        <w:jc w:val="both"/>
        <w:spacing w:after="0" w:line="240" w:lineRule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 рисунке 2 представлено картографическое отображение направлений и расстояний до ближайших специализированных медицинских отделений: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травмцентра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2 уровня (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ст.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Павловская), первичного со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судистого отделения         (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ст.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Кущевская), регионального сосудистого центра (г. Ейск), а также краевой клинической больницы (г. Краснодар)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firstLine="709"/>
        <w:jc w:val="both"/>
        <w:spacing w:after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Средний уровень заработной платы в муниципалитете  за 2024 год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составляет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50944.2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рублей, в 2025 -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60204.2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рублей.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В Краснодарском крае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с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редний уровень заработной платы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составляет 67167.7 рублей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По данным Росстата,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по итогам 2024 года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 среднемесячная номинальная начисленная заработная плата в России составила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87952 рубля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Ленинградском муниципальном округе наблюдается значительный рост среднего уровня заработной платы с 50944.2 руб. в 2024 году до 60204.2 руб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 в 2025 году. Это свидетельствует о положительной динамике экономического развития.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Несмотря на рост, средний уровень заработной платы в муниципалитете значительно ниже, чем в Краснодарском крае и в целом по России.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firstLine="709"/>
        <w:jc w:val="both"/>
        <w:spacing w:after="0" w:line="240" w:lineRule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Среднесписочная численность работников организаций в Ленинградском муниципальном округе  в 2024 году - 9256 человек, в 2025 году - 9592 человека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Н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аблюдается рост среднесписочной численности работников организаций ,что  связано с развитием новых предприятий, расширением существующих, а также реализацией инвестиционн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ых проектов. 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b w:val="0"/>
          <w:bCs w:val="0"/>
          <w:sz w:val="28"/>
          <w:szCs w:val="28"/>
          <w:highlight w:val="none"/>
        </w:rPr>
      </w:pP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</w:p>
    <w:p>
      <w:pPr>
        <w:ind w:firstLine="851"/>
        <w:jc w:val="both"/>
        <w:spacing w:after="0" w:line="240" w:lineRule="auto"/>
        <w:rPr>
          <w:rFonts w:ascii="FreeSerif" w:hAnsi="FreeSerif" w:cs="FreeSerif"/>
          <w:b w:val="0"/>
          <w:bCs w:val="0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Дифференциация заработной платы по размеру предприятий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212529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212529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212529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212529"/>
          <w:sz w:val="28"/>
          <w:szCs w:val="28"/>
          <w:highlight w:val="none"/>
        </w:rPr>
      </w:r>
    </w:p>
    <w:p>
      <w:pPr>
        <w:ind w:firstLine="851"/>
        <w:jc w:val="right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  <w:highlight w:val="none"/>
        </w:rPr>
      </w:pPr>
      <w:r>
        <w:rPr>
          <w:rFonts w:ascii="FreeSerif" w:hAnsi="FreeSerif" w:eastAsia="FreeSerif" w:cs="FreeSerif"/>
          <w:b w:val="0"/>
          <w:bCs w:val="0"/>
          <w:sz w:val="28"/>
          <w:szCs w:val="28"/>
          <w:highlight w:val="none"/>
        </w:rPr>
        <w:t xml:space="preserve">Таблица 3</w:t>
      </w:r>
      <w:r>
        <w:rPr>
          <w:rFonts w:ascii="FreeSerif" w:hAnsi="FreeSerif" w:cs="FreeSerif"/>
          <w:b w:val="0"/>
          <w:bCs w:val="0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</w:p>
    <w:p>
      <w:pPr>
        <w:ind w:firstLine="851"/>
        <w:jc w:val="right"/>
        <w:spacing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  <w:highlight w:val="white"/>
        </w:rPr>
      </w:pP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</w:p>
    <w:tbl>
      <w:tblPr>
        <w:tblStyle w:val="967"/>
        <w:tblW w:w="0" w:type="auto"/>
        <w:tblLook w:val="04A0" w:firstRow="1" w:lastRow="0" w:firstColumn="1" w:lastColumn="0" w:noHBand="0" w:noVBand="1"/>
      </w:tblPr>
      <w:tblGrid>
        <w:gridCol w:w="4762"/>
        <w:gridCol w:w="4762"/>
      </w:tblGrid>
      <w:tr>
        <w:tblPrEx/>
        <w:trPr/>
        <w:tc>
          <w:tcPr>
            <w:tcW w:w="4762" w:type="dxa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eastAsia="FreeSerif" w:cs="FreeSerif"/>
                <w:b/>
                <w:bCs/>
                <w:color w:val="212529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b/>
                <w:color w:val="212529"/>
                <w:sz w:val="28"/>
                <w:szCs w:val="28"/>
              </w:rPr>
              <w:t xml:space="preserve">Размер предприятия</w:t>
            </w:r>
            <w:r>
              <w:rPr>
                <w:rFonts w:ascii="FreeSerif" w:hAnsi="FreeSerif" w:eastAsia="FreeSerif" w:cs="FreeSerif"/>
                <w:b/>
                <w:bCs/>
                <w:color w:val="212529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b/>
                <w:bCs/>
                <w:color w:val="212529"/>
                <w:sz w:val="28"/>
                <w:szCs w:val="28"/>
                <w:highlight w:val="none"/>
              </w:rPr>
            </w:r>
          </w:p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color w:val="212529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tcW w:w="4762" w:type="dxa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/>
                <w:color w:val="212529"/>
                <w:sz w:val="28"/>
                <w:szCs w:val="28"/>
              </w:rPr>
              <w:t xml:space="preserve">Средняя зарплата, руб.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/>
        <w:tc>
          <w:tcPr>
            <w:tcW w:w="4762" w:type="dxa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Микро-предприятия (до 15 чел.)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W w:w="4762" w:type="dxa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27140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4762" w:type="dxa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Малые предприятия (до 100 чел.)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W w:w="4762" w:type="dxa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40700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4762" w:type="dxa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Средние предприятия (от 100 чел.)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W w:w="4762" w:type="dxa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49750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4762" w:type="dxa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Крупные предприятия (от 250 чел.)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W w:w="4762" w:type="dxa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63320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4762" w:type="dxa"/>
            <w:vMerge w:val="restart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Бюджетная сфера</w:t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</w:p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  <w:tc>
          <w:tcPr>
            <w:tcW w:w="4762" w:type="dxa"/>
            <w:vMerge w:val="restart"/>
            <w:textDirection w:val="lrTb"/>
            <w:noWrap w:val="false"/>
          </w:tcPr>
          <w:p>
            <w:pPr>
              <w:jc w:val="both"/>
              <w:spacing w:before="0" w:after="0" w:afterAutospacing="0" w:line="240" w:lineRule="auto"/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28"/>
                <w:szCs w:val="28"/>
              </w:rPr>
              <w:t xml:space="preserve">36180</w:t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color w:val="000000" w:themeColor="text1"/>
                <w:sz w:val="28"/>
                <w:szCs w:val="28"/>
              </w:rPr>
            </w:r>
          </w:p>
        </w:tc>
      </w:tr>
    </w:tbl>
    <w:p>
      <w:pPr>
        <w:ind w:left="0" w:right="0" w:firstLine="0"/>
        <w:jc w:val="both"/>
        <w:spacing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Наблюдается прямая зависимость между размером предприятия и уровнем заработной платы. На крупных предприятиях заработная плата значительно выше, чем на микро- и малых предприятиях. Это связано с более высокой производительностью труда, более сл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ожными технологиями и более квалифицированным персоналом на крупных предприятиях.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На начало 2025 года уровень безработицы в России, рассчитанный по методологии МОТ, составил 2,8%, что на 0,3 процентных пункта ниже, чем в 2024 году. Это свидетельствует о положительной динамике на федеральном уровне.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Министерство труда и социального развития Краснодарского края оценивает уровень безработицы в регионе на начало апреля 2025 года в 0,2%, что на 0,1 п.п. ниже, чем годом ранее. Число безработных, состоящих на учете в центрах занятости, также сократилось на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 20,5%. 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 2024 г. признано безработными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2,4 тыс. безработных (на 21,3% меньше, чем в  2023 г.).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На начало апреля 2025 года на учете в центре занятости населения Краснодарского края состояло 6,6 тыс. безработных. Это на 20,5% меньше, чем в аналогичный период 2024 года – тогда их число составляло 8,3 тыс. человек.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Уровень безработицы в регионе на данный момент составляет 0,2% от численности рабочей силы. Это на 0,1 процентного пункта ниже по сравнению с тем же периодом прошлого года. Этот показатель также ниже, чем в среднем по Росс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ии (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0,4%)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Всего  в Ленинградском муниципальном округе количество официально занятого населения составляет 37 738 человек (59.6%), пенсионеров 18 362 человека (29%), а официально оформленных и состоящий на учете безработных 3 672 человека (5.8%).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jc w:val="center"/>
        <w:spacing w:after="0" w:afterAutospacing="0" w:line="240" w:lineRule="auto"/>
        <w:rPr>
          <w:rFonts w:ascii="FreeSerif" w:hAnsi="FreeSerif" w:cs="FreeSerif"/>
          <w:color w:val="000000" w:themeColor="text1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jc w:val="center"/>
        <w:spacing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Анализ смертности населения </w:t>
      </w:r>
      <w:r>
        <w:rPr>
          <w:rFonts w:ascii="FreeSerif" w:hAnsi="FreeSerif" w:cs="FreeSerif"/>
          <w:color w:val="000000" w:themeColor="text1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jc w:val="center"/>
        <w:spacing w:after="0" w:afterAutospacing="0" w:line="240" w:lineRule="auto"/>
        <w:rPr>
          <w:rFonts w:ascii="FreeSerif" w:hAnsi="FreeSerif" w:cs="FreeSerif"/>
          <w:color w:val="000000" w:themeColor="text1"/>
          <w:highlight w:val="none"/>
        </w:rPr>
      </w:pPr>
      <w:r>
        <w:rPr>
          <w:rFonts w:ascii="FreeSerif" w:hAnsi="FreeSerif" w:cs="FreeSerif"/>
          <w:color w:val="000000" w:themeColor="text1"/>
          <w:highlight w:val="none"/>
        </w:rPr>
      </w:r>
      <w:r>
        <w:rPr>
          <w:rFonts w:ascii="FreeSerif" w:hAnsi="FreeSerif" w:cs="FreeSerif"/>
          <w:color w:val="000000" w:themeColor="text1"/>
          <w:highlight w:val="none"/>
        </w:rPr>
      </w:r>
      <w:r>
        <w:rPr>
          <w:rFonts w:ascii="FreeSerif" w:hAnsi="FreeSerif" w:cs="FreeSerif"/>
          <w:color w:val="000000" w:themeColor="text1"/>
          <w:highlight w:val="none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</w:rPr>
        <w:t xml:space="preserve">Данный анализ посвящен изучению динамики смертности населения Ленинградского муниципального округа в период с 2020 по 2024 годы. Рассмотрены показатели общей смертности, смертности по основным классам причин смерти, а также динамика в разрезе пола.       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right"/>
        <w:spacing w:after="0" w:afterAutospacing="0" w:line="240" w:lineRule="auto"/>
        <w:rPr>
          <w:rFonts w:ascii="FreeSerif" w:hAnsi="FreeSerif" w:eastAsia="FreeSerif" w:cs="FreeSerif"/>
          <w:color w:val="212529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  <w:t xml:space="preserve"> Таблица</w:t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  <w:t xml:space="preserve"> 4</w:t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</w:p>
    <w:p>
      <w:pPr>
        <w:ind w:left="0" w:right="0" w:firstLine="0"/>
        <w:jc w:val="right"/>
        <w:spacing w:after="0" w:afterAutospacing="0" w:line="240" w:lineRule="auto"/>
        <w:rPr>
          <w:rFonts w:ascii="FreeSerif" w:hAnsi="FreeSerif" w:eastAsia="FreeSerif" w:cs="FreeSerif"/>
          <w:color w:val="212529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212529"/>
          <w:sz w:val="28"/>
          <w:szCs w:val="28"/>
          <w:highlight w:val="none"/>
        </w:rPr>
      </w:r>
    </w:p>
    <w:tbl>
      <w:tblPr>
        <w:tblStyle w:val="967"/>
        <w:tblW w:w="0" w:type="auto"/>
        <w:tblLayout w:type="fixed"/>
        <w:tblLook w:val="04A0" w:firstRow="1" w:lastRow="0" w:firstColumn="1" w:lastColumn="0" w:noHBand="0" w:noVBand="1"/>
      </w:tblPr>
      <w:tblGrid>
        <w:gridCol w:w="895"/>
        <w:gridCol w:w="585"/>
        <w:gridCol w:w="607"/>
        <w:gridCol w:w="596"/>
        <w:gridCol w:w="616"/>
        <w:gridCol w:w="591"/>
        <w:gridCol w:w="612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>
        <w:tblPrEx/>
        <w:trPr>
          <w:trHeight w:val="383"/>
        </w:trPr>
        <w:tc>
          <w:tcPr>
            <w:tcW w:w="895" w:type="dxa"/>
            <w:vMerge w:val="restart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16"/>
                <w:szCs w:val="16"/>
              </w:rPr>
            </w:pPr>
            <w:r>
              <w:rPr>
                <w:rFonts w:ascii="FreeSerif" w:hAnsi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16"/>
                <w:szCs w:val="16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16"/>
                <w:szCs w:val="16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16"/>
                <w:szCs w:val="16"/>
              </w:rPr>
            </w:r>
          </w:p>
        </w:tc>
        <w:tc>
          <w:tcPr>
            <w:gridSpan w:val="5"/>
            <w:tcBorders>
              <w:bottom w:val="single" w:color="000000" w:sz="4" w:space="0"/>
            </w:tcBorders>
            <w:tcW w:w="29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всего (</w:t>
            </w: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абсол</w:t>
            </w: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./относительный показатель на 1000 населения)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gridSpan w:val="5"/>
            <w:tcBorders>
              <w:bottom w:val="single" w:color="000000" w:sz="4" w:space="0"/>
            </w:tcBorders>
            <w:tcW w:w="2880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женщины (относительный показатель на 100000 населения)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gridSpan w:val="5"/>
            <w:tcBorders>
              <w:bottom w:val="single" w:color="000000" w:sz="4" w:space="0"/>
            </w:tcBorders>
            <w:tcW w:w="283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мужчин</w:t>
            </w: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ы(</w:t>
            </w: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относительный показатель на 100000 населения)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</w:tr>
      <w:tr>
        <w:tblPrEx/>
        <w:trPr>
          <w:trHeight w:val="396"/>
        </w:trPr>
        <w:tc>
          <w:tcPr>
            <w:tcW w:w="895" w:type="dxa"/>
            <w:vMerge w:val="continue"/>
            <w:textDirection w:val="lrTb"/>
            <w:noWrap w:val="false"/>
          </w:tcPr>
          <w:p>
            <w:pPr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  <w:r>
              <w:rPr>
                <w:rFonts w:ascii="Times New Roman" w:hAnsi="Times New Roman" w:cs="Times New Roman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2021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2022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2023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2024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2021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2022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2023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2024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2021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2022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2023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top w:val="single" w:color="000000" w:sz="4" w:space="0"/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2024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всего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999/ 15,8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1163/ 18,6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1036/ 16,6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868/ 14,8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922/ 15,7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424/ 12,6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474/ 14,0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455/ 13,6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410/ 13,0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366/ 11,6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575/ 19,7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689/ 23,8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544/ 19,0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458/ 17,0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556/ 20,7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в том числе: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злокачественных образований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116/183,2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106/ 168,3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112/ 179,2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82/ 139,2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94/ 160,1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34/ 100,1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23/ 68,0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38/ 113,0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12/ 37,7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12/ 37,8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82/ 279,3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83/ 284,5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74/ 256,1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70/ 257,9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82/ 303,5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болезни системы кровообращения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289/ 456,4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274/ 435,1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225/ 360,0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239/ 405,6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258/ 439,5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80/ 235,5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100/ 295,8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50/ 148,7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80/ 251,7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68/ 214,5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209/ 711,9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174/ 596,6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175/ 605,6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145/ 534,2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190/ 703,3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болезни органов дыхания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7/ 11,1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9/ 14,3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10/16,0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5/ 8,5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7/ 11,9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2/ 5,8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3/ 8,8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3/ 8,9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1/ 3,1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jc w:val="center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2/   6,3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jc w:val="center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5/ 17,0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jc w:val="center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6/  20,5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jc w:val="center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7/ 24,2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4/ 14,7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5/ 18,5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болезней органов пищеварения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28/ 44,2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34/ 54,0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10/16,0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21/ 35,6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31/ 52,8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6/ 17,6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7/ 20,7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2/ 5,9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9/ 28,3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11/ 34,7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22/ 74,9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24/ 82,3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8/ 27,7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12/ 44,2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20/ 74,0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</w:tr>
      <w:tr>
        <w:tblPrEx/>
        <w:trPr/>
        <w:tc>
          <w:tcPr>
            <w:tcW w:w="89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внешних причин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85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39/ 61,6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0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35/ 55,6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9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50/80,0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616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46/ 78,1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91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50/ 85,2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612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3/ 8,8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2/ 5,9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3/ 8,9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  <w:p>
            <w:pPr>
              <w:contextualSpacing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13/ 40,9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4/12,6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36/ 122,6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33/ 113,1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47/ 162,6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  <w:righ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33/ 121,5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  <w:tc>
          <w:tcPr>
            <w:tcBorders>
              <w:left w:val="single" w:color="000000" w:sz="4" w:space="0"/>
            </w:tcBorders>
            <w:tcW w:w="567" w:type="dxa"/>
            <w:textDirection w:val="lrTb"/>
            <w:noWrap w:val="false"/>
          </w:tcPr>
          <w:p>
            <w:pPr>
              <w:contextualSpacing/>
              <w:ind w:firstLine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color w:val="000000" w:themeColor="text1"/>
                <w:sz w:val="16"/>
                <w:szCs w:val="16"/>
              </w:rPr>
              <w:t xml:space="preserve">46/ 170,3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</w:rPr>
            </w:r>
          </w:p>
        </w:tc>
      </w:tr>
    </w:tbl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2024 году (по сравнению с 2020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годом) снизились показатели смертности от новообразований на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23,4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%, от болезней системы кровообращения на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20,9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%, от болезней органов дыхания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осталось на прежнем показателе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, от болезней органов пищеварения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увеличились на 9,6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%, от внешних причин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увеличились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22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%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 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года общая смертность населения имела тенденцию к снижению. По сравнению с 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годом в 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году данный показатель снизился на 8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,3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% в общем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К сожалению в трудоспособном возрасте показатель смертности возрос на 21,8%.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ind w:left="0" w:firstLine="0"/>
        <w:jc w:val="center"/>
        <w:spacing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Показатели смертности  в Ленинградском муниципальном округе за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</w:p>
    <w:p>
      <w:pPr>
        <w:ind w:left="0" w:firstLine="0"/>
        <w:jc w:val="center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2020-2024 гг.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трудоспособном возрасте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firstLine="0"/>
        <w:jc w:val="right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  <w:t xml:space="preserve">Таблица 5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ind w:left="0" w:firstLine="0"/>
        <w:jc w:val="right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tbl>
      <w:tblPr>
        <w:tblStyle w:val="967"/>
        <w:tblW w:w="0" w:type="auto"/>
        <w:tblLook w:val="04A0" w:firstRow="1" w:lastRow="0" w:firstColumn="1" w:lastColumn="0" w:noHBand="0" w:noVBand="1"/>
      </w:tblPr>
      <w:tblGrid>
        <w:gridCol w:w="1584"/>
        <w:gridCol w:w="1584"/>
        <w:gridCol w:w="1584"/>
        <w:gridCol w:w="1584"/>
        <w:gridCol w:w="1584"/>
        <w:gridCol w:w="1584"/>
      </w:tblGrid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  <w:t xml:space="preserve">Причины смертности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  <w:t xml:space="preserve">2020/по краю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  <w:t xml:space="preserve">2021/по краю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  <w:t xml:space="preserve">2022/по краю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  <w:t xml:space="preserve">2023/по краю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  <w:t xml:space="preserve">2024/по краю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</w:p>
        </w:tc>
      </w:tr>
      <w:tr>
        <w:tblPrEx/>
        <w:trPr>
          <w:trHeight w:val="316"/>
        </w:trPr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  <w:t xml:space="preserve">Все причины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494,1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478,0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596,5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538,2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508,7/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471,5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451,8/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541,6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654,3/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527,4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</w:tr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Style w:val="971"/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в т.ч. от новообразований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74,9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69,7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69,6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64,5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98,1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65,4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78,6/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83,2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127,1/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85,5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</w:tr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Style w:val="971"/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от болезней системы кровообращения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179,7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140,6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121,1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138,3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128,7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149,0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170,3/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both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181,3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254,3/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196,5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</w:tr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Style w:val="971"/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от болезней органов дыхания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0,0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20,2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9,1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25,6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6,1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15,3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3,3/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20,5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18,6/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19,2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</w:tr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ind w:left="0" w:right="0"/>
              <w:spacing w:after="0" w:afterAutospacing="0" w:line="240" w:lineRule="auto"/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Style w:val="971"/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от болезней органов пищеварения</w:t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32,9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44,7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39,4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45,1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18,4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42,4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39,3/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52,5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62,0/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55,1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</w:tr>
      <w:tr>
        <w:tblPrEx/>
        <w:trPr/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от внешних причин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77,9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81,0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72,7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80,0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101,1</w:t>
            </w: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100,3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75,3/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118,2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117,8/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  <w:p>
            <w:pPr>
              <w:pStyle w:val="969"/>
              <w:ind w:left="0" w:righ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color w:val="000000" w:themeColor="text1"/>
              </w:rPr>
              <w:suppressLineNumbers w:val="0"/>
            </w:pPr>
            <w:r>
              <w:rPr>
                <w:rFonts w:ascii="FreeSerif" w:hAnsi="FreeSerif" w:eastAsia="FreeSerif" w:cs="FreeSerif"/>
                <w:color w:val="000000" w:themeColor="text1"/>
                <w:sz w:val="24"/>
                <w:szCs w:val="24"/>
              </w:rPr>
              <w:t xml:space="preserve">90,9</w:t>
            </w:r>
            <w:r>
              <w:rPr>
                <w:rFonts w:ascii="FreeSerif" w:hAnsi="FreeSerif" w:cs="FreeSerif"/>
                <w:color w:val="000000" w:themeColor="text1"/>
              </w:rPr>
            </w:r>
            <w:r>
              <w:rPr>
                <w:rFonts w:ascii="FreeSerif" w:hAnsi="FreeSerif" w:cs="FreeSerif"/>
                <w:color w:val="000000" w:themeColor="text1"/>
              </w:rPr>
            </w:r>
          </w:p>
        </w:tc>
      </w:tr>
    </w:tbl>
    <w:p>
      <w:pPr>
        <w:pStyle w:val="969"/>
        <w:ind w:left="0" w:right="40" w:firstLine="0"/>
        <w:jc w:val="center"/>
        <w:spacing w:before="0" w:after="0" w:line="315" w:lineRule="exact"/>
        <w:shd w:val="clear" w:color="auto" w:fill="auto"/>
        <w:tabs>
          <w:tab w:val="left" w:pos="1400" w:leader="none"/>
        </w:tabs>
        <w:rPr>
          <w:rFonts w:eastAsia="FreeSerif"/>
          <w:sz w:val="28"/>
          <w:szCs w:val="28"/>
        </w:rPr>
      </w:pPr>
      <w:r>
        <w:rPr>
          <w:rFonts w:eastAsia="FreeSerif"/>
          <w:sz w:val="28"/>
          <w:szCs w:val="28"/>
        </w:rPr>
        <w:t xml:space="preserve">  </w:t>
      </w:r>
      <w:r>
        <w:rPr>
          <w:rFonts w:eastAsia="FreeSerif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Заболеваемость населения.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eastAsia="FreeSerif"/>
          <w:sz w:val="28"/>
          <w:szCs w:val="28"/>
        </w:rPr>
      </w:r>
    </w:p>
    <w:p>
      <w:pPr>
        <w:pStyle w:val="969"/>
        <w:ind w:left="0" w:right="40" w:firstLine="0"/>
        <w:jc w:val="center"/>
        <w:spacing w:before="0" w:after="0" w:line="315" w:lineRule="exact"/>
        <w:shd w:val="clear" w:color="auto" w:fill="auto"/>
        <w:tabs>
          <w:tab w:val="left" w:pos="1400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both"/>
        <w:spacing w:before="0" w:after="297" w:line="315" w:lineRule="exact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году общая заболеваемость населения Ленинградского муниципального округа составила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1483,1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на 1000 соответствующего населения. За последние 5 лет этот показатель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снизился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 Общая заболеваемость среди детей с тенденцией к росту. Первичная заболеваемость среди всех возрастных категорий - без четкой динамики.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center"/>
        <w:spacing w:before="0" w:after="297" w:line="315" w:lineRule="exact"/>
        <w:shd w:val="clear" w:color="auto" w:fill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Динамика общей и первичной заболеваемости за 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-20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годы           (на 1000 человек соответствующего возраста)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pStyle w:val="969"/>
        <w:ind w:right="40" w:firstLine="740"/>
        <w:jc w:val="right"/>
        <w:spacing w:before="0" w:after="297" w:line="315" w:lineRule="exact"/>
        <w:shd w:val="clear" w:color="auto" w:fill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Таблица 6</w:t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tbl>
      <w:tblPr>
        <w:tblStyle w:val="967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2092"/>
        <w:gridCol w:w="1184"/>
        <w:gridCol w:w="1584"/>
        <w:gridCol w:w="1584"/>
        <w:gridCol w:w="1584"/>
        <w:gridCol w:w="1584"/>
      </w:tblGrid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показатели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gridSpan w:val="5"/>
            <w:tcW w:w="7521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tabs>
                <w:tab w:val="left" w:pos="2928" w:leader="none"/>
              </w:tabs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ab/>
              <w:t xml:space="preserve">год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W w:w="2092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1184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2020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2021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2022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2023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2024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</w:p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gridSpan w:val="6"/>
            <w:tcW w:w="9613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tabs>
                <w:tab w:val="left" w:pos="2348" w:leader="none"/>
              </w:tabs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ab/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</w:p>
          <w:p>
            <w:pPr>
              <w:pStyle w:val="969"/>
              <w:contextualSpacing w:val="0"/>
              <w:ind w:left="0" w:firstLine="0"/>
              <w:jc w:val="center"/>
              <w:spacing w:before="0" w:after="0" w:afterAutospacing="0" w:line="240" w:lineRule="auto"/>
              <w:shd w:val="clear" w:color="auto" w:fill="auto"/>
              <w:tabs>
                <w:tab w:val="left" w:pos="2348" w:leader="none"/>
              </w:tabs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Детское население (0-14 лет)</w:t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/>
          </w:p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tabs>
                <w:tab w:val="left" w:pos="2348" w:leader="none"/>
              </w:tabs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W w:w="2092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Об</w:t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щая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1519,4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both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1507,1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1474,3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1489,3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1483,1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Первичная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1046,1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1137,08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1037,8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1098,5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1041.9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Диспансерный учет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311,7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313,1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317,8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321,6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345,4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gridSpan w:val="6"/>
            <w:tcW w:w="9613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center"/>
              <w:spacing w:before="0" w:after="0" w:afterAutospacing="0" w:line="240" w:lineRule="auto"/>
              <w:shd w:val="clear" w:color="auto" w:fill="auto"/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</w:p>
          <w:p>
            <w:pPr>
              <w:pStyle w:val="969"/>
              <w:contextualSpacing w:val="0"/>
              <w:ind w:left="0" w:firstLine="0"/>
              <w:jc w:val="center"/>
              <w:spacing w:before="0" w:after="0" w:afterAutospacing="0" w:line="240" w:lineRule="auto"/>
              <w:shd w:val="clear" w:color="auto" w:fill="auto"/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Подростковое население  от 15 до 17 лет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</w:p>
          <w:p>
            <w:pPr>
              <w:pStyle w:val="969"/>
              <w:contextualSpacing w:val="0"/>
              <w:ind w:left="0" w:firstLine="0"/>
              <w:jc w:val="center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W w:w="2092" w:type="dxa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Об</w:t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щая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1996,5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2056,0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2084,6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2054,4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2114,7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Первичная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1428,8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1429,8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1442,55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1441,5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1417,4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Диспансерный учет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vMerge w:val="restart"/>
            <w:textDirection w:val="lrTb"/>
            <w:noWrap w:val="false"/>
          </w:tcPr>
          <w:p>
            <w:pPr>
              <w:pStyle w:val="969"/>
              <w:ind w:right="160" w:firstLine="0"/>
              <w:jc w:val="righ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704,3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right="160" w:firstLine="0"/>
              <w:jc w:val="both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754,8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771,0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783,4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796,1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gridSpan w:val="6"/>
            <w:tcW w:w="9613" w:type="dxa"/>
            <w:vMerge w:val="restart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center"/>
              <w:spacing w:before="0" w:after="0" w:afterAutospacing="0" w:line="240" w:lineRule="auto"/>
              <w:shd w:val="clear" w:color="auto" w:fill="auto"/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</w:p>
          <w:p>
            <w:pPr>
              <w:pStyle w:val="969"/>
              <w:contextualSpacing w:val="0"/>
              <w:ind w:left="0" w:firstLine="0"/>
              <w:jc w:val="center"/>
              <w:spacing w:before="0" w:after="0" w:afterAutospacing="0" w:line="240" w:lineRule="auto"/>
              <w:shd w:val="clear" w:color="auto" w:fill="auto"/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Взрослое население от 18 т старше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</w:p>
          <w:p>
            <w:pPr>
              <w:pStyle w:val="969"/>
              <w:contextualSpacing w:val="0"/>
              <w:ind w:left="0" w:firstLine="0"/>
              <w:jc w:val="center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Об</w:t>
            </w: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щая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1360,4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1363,2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1391,0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1395,1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1399</w:t>
            </w: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Первичная заболеваемость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481,3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525,24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483,3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476,1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468,3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  <w:tr>
        <w:tblPrEx/>
        <w:trPr/>
        <w:tc>
          <w:tcPr>
            <w:tcW w:w="2092" w:type="dxa"/>
            <w:vMerge w:val="restart"/>
            <w:textDirection w:val="lrTb"/>
            <w:noWrap w:val="false"/>
          </w:tcPr>
          <w:p>
            <w:pPr>
              <w:pStyle w:val="969"/>
              <w:contextualSpacing w:val="0"/>
              <w:ind w:left="0" w:firstLine="0"/>
              <w:jc w:val="left"/>
              <w:spacing w:before="0" w:after="0" w:afterAutospacing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  <w:highlight w:val="none"/>
              </w:rPr>
              <w:suppressLineNumbers w:val="0"/>
            </w:pPr>
            <w:r>
              <w:rPr>
                <w:rFonts w:ascii="FreeSerif" w:hAnsi="FreeSerif" w:eastAsia="FreeSerif" w:cs="FreeSerif"/>
                <w:sz w:val="28"/>
                <w:szCs w:val="28"/>
                <w:highlight w:val="none"/>
              </w:rPr>
              <w:t xml:space="preserve">Диспансерный учет</w:t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  <w:r>
              <w:rPr>
                <w:rFonts w:ascii="FreeSerif" w:hAnsi="FreeSerif" w:cs="FreeSerif"/>
                <w:sz w:val="28"/>
                <w:szCs w:val="28"/>
                <w:highlight w:val="none"/>
              </w:rPr>
            </w:r>
          </w:p>
        </w:tc>
        <w:tc>
          <w:tcPr>
            <w:tcW w:w="11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648,1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669,1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689,6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702,4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  <w:tc>
          <w:tcPr>
            <w:tcW w:w="1584" w:type="dxa"/>
            <w:vMerge w:val="restart"/>
            <w:textDirection w:val="lrTb"/>
            <w:noWrap w:val="false"/>
          </w:tcPr>
          <w:p>
            <w:pPr>
              <w:pStyle w:val="969"/>
              <w:ind w:firstLine="0"/>
              <w:jc w:val="left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2"/>
                <w:szCs w:val="22"/>
              </w:rPr>
              <w:framePr w:w="9630" w:wrap="notBeside" w:vAnchor="text" w:hAnchor="text" w:xAlign="center" w:y="1"/>
            </w:pPr>
            <w:r>
              <w:rPr>
                <w:rFonts w:ascii="FreeSerif" w:hAnsi="FreeSerif" w:eastAsia="FreeSerif" w:cs="FreeSerif"/>
                <w:sz w:val="22"/>
                <w:szCs w:val="22"/>
              </w:rPr>
              <w:t xml:space="preserve">718,5</w:t>
            </w:r>
            <w:r>
              <w:rPr>
                <w:rFonts w:ascii="FreeSerif" w:hAnsi="FreeSerif" w:cs="FreeSerif"/>
                <w:sz w:val="22"/>
                <w:szCs w:val="22"/>
              </w:rPr>
            </w:r>
            <w:r>
              <w:rPr>
                <w:rFonts w:ascii="FreeSerif" w:hAnsi="FreeSerif" w:cs="FreeSerif"/>
                <w:sz w:val="22"/>
                <w:szCs w:val="22"/>
              </w:rPr>
            </w:r>
          </w:p>
        </w:tc>
      </w:tr>
    </w:tbl>
    <w:p>
      <w:pPr>
        <w:jc w:val="center"/>
        <w:rPr>
          <w:rFonts w:ascii="FreeSerif" w:hAnsi="FreeSerif" w:cs="FreeSerif"/>
          <w:sz w:val="24"/>
          <w:szCs w:val="24"/>
        </w:rPr>
      </w:pPr>
      <w:r>
        <w:rPr>
          <w:rFonts w:ascii="FreeSerif" w:hAnsi="FreeSerif" w:eastAsia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</w:p>
    <w:p>
      <w:pPr>
        <w:contextualSpacing/>
        <w:ind w:firstLine="708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 2024 год отмечается снижение общей заболеваемости детей (0-14 лет) в сравнении с 2020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годом в 1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,2 раза. Снижение отмечается в группе заболеваний органов дыхания на 1,8,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болезней глаза на 3 %. В 2024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году наблюдается повышение диспансерного уче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та в 1,09 раза по сравнению с 2020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годом.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/>
        <w:ind w:firstLine="708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Общая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заболеваемость подростков в 2024 году повысилась в 1,05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 раза. Наблюдается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снижение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впервые выявленных заболеваний в 202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4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году по сравнению с 202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годом в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1,0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раза. Увеличение отмечается в группе заболеваний органов пищеварения и болезней костно-мышечной системы. В 202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4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году наблюдается увеличение диспансерного учета на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0,88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% по сравнению с 202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0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годом.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/>
        <w:ind w:firstLine="708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Показатели общей заболеваемости взрослого населения - с ежегодным увеличением. Вместе с тем, отмечается снижение первичной заболеваемости и повышение числа пациентов, состоящих на диспансерном учете.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/>
        <w:ind w:firstLine="708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 последние 5 лет отмечается резк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ий рост общей заболеваемости болезнями системы кровообращения, и наряду с ростом общей заболеваемости новообразованиями, болезнями эндокринной системы, наблюдается снижение заболеваемости кожи и подкожной клетчатки, инфекционными и паразитарными болезными.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left="20" w:right="20" w:firstLine="70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структуре общей заболеваемости наибольший удельный вес имеют болезни органов дыхания –6,9%, болезни системы кровообращения - 39,1%, болезни костно-мышечной системы - 18,07%, органов пищеварения - 16,36%.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left="120" w:right="4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структуре первичной заболеваемости наибольшей удельный вес имеют болезни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органов дыхания - 27,5%, травмы, отравления и некоторые другие последствия воздействия внешних причин - 7,8%, болезни системы кровообращения - 19,6%, мочеполовой системы - 5,42%, а так же болезни костно-мышечной системы - 2,3%.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69"/>
        <w:ind w:left="120" w:right="40" w:firstLine="720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jc w:val="right"/>
        <w:rPr>
          <w:rFonts w:ascii="FreeSerif" w:hAnsi="FreeSerif" w:cs="FreeSerif"/>
          <w:sz w:val="24"/>
          <w:szCs w:val="24"/>
        </w:rPr>
      </w:pPr>
      <w:r>
        <w:rPr>
          <w:rFonts w:ascii="FreeSerif" w:hAnsi="FreeSerif" w:eastAsia="FreeSerif" w:cs="FreeSerif"/>
          <w:sz w:val="24"/>
          <w:szCs w:val="24"/>
        </w:rPr>
      </w:r>
      <w:r>
        <w:rPr>
          <w:rFonts w:ascii="FreeSerif" w:hAnsi="FreeSerif" w:eastAsia="FreeSerif" w:cs="FreeSerif"/>
          <w:sz w:val="28"/>
          <w:szCs w:val="28"/>
        </w:rPr>
        <w:t xml:space="preserve">Таблица 7</w:t>
      </w:r>
      <w:r>
        <w:rPr>
          <w:rFonts w:ascii="FreeSerif" w:hAnsi="FreeSerif" w:cs="FreeSerif"/>
          <w:sz w:val="24"/>
          <w:szCs w:val="24"/>
        </w:rPr>
      </w:r>
      <w:r>
        <w:rPr>
          <w:rFonts w:ascii="FreeSerif" w:hAnsi="FreeSerif" w:cs="FreeSerif"/>
          <w:sz w:val="24"/>
          <w:szCs w:val="24"/>
        </w:rPr>
      </w:r>
    </w:p>
    <w:tbl>
      <w:tblPr>
        <w:tblpPr w:horzAnchor="margin" w:tblpXSpec="center" w:vertAnchor="text" w:tblpY="-52" w:leftFromText="180" w:topFromText="0" w:rightFromText="180" w:bottomFromText="0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975"/>
        <w:gridCol w:w="1980"/>
        <w:gridCol w:w="1985"/>
        <w:gridCol w:w="1540"/>
      </w:tblGrid>
      <w:tr>
        <w:tblPrEx/>
        <w:trPr>
          <w:trHeight w:val="5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Заболеваемость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69"/>
              <w:ind w:firstLine="0"/>
              <w:spacing w:before="0" w:after="12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Диспансерный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pStyle w:val="969"/>
              <w:ind w:firstLine="0"/>
              <w:spacing w:before="12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учет</w:t>
            </w: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 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Смертность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6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69"/>
              <w:ind w:firstLine="0"/>
              <w:jc w:val="both"/>
              <w:spacing w:before="0" w:after="0" w:line="27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Болезни костно-мышечной системы и соединительной ткани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  <w:lang w:val="en-US"/>
              </w:rPr>
              <w:t xml:space="preserve">103</w:t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,</w:t>
            </w:r>
            <w:r>
              <w:rPr>
                <w:rFonts w:ascii="FreeSerif" w:hAnsi="FreeSerif" w:eastAsia="FreeSerif" w:cs="FreeSerif"/>
                <w:sz w:val="24"/>
                <w:szCs w:val="24"/>
                <w:lang w:val="en-US"/>
              </w:rPr>
              <w:t xml:space="preserve">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92,4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5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6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Психиатрические расстройства и расстройства поведения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41,9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6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69"/>
              <w:ind w:firstLine="0"/>
              <w:jc w:val="both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Болезни системы кровообращения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296,7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439,5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840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6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Болезни крови, кроветворных органов и отдельные нарушения вовлекающие иммунный механизм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74,5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28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69"/>
              <w:ind w:firstLine="0"/>
              <w:jc w:val="both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Новообразования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</w:r>
          </w:p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  <w:highlight w:val="none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6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Болезни эндокринной системы, питания и нарушения обмена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74,3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6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Врожденные аномалии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6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Болезни органов дыхания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>
          <w:trHeight w:val="5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3975" w:type="dxa"/>
            <w:textDirection w:val="lrTb"/>
            <w:noWrap/>
          </w:tcPr>
          <w:p>
            <w:pPr>
              <w:pStyle w:val="969"/>
              <w:ind w:firstLine="0"/>
              <w:jc w:val="both"/>
              <w:spacing w:before="0" w:after="0" w:line="275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Style w:val="971"/>
                <w:rFonts w:ascii="FreeSerif" w:hAnsi="FreeSerif" w:eastAsia="FreeSerif" w:cs="FreeSerif"/>
                <w:sz w:val="24"/>
                <w:szCs w:val="24"/>
              </w:rPr>
              <w:t xml:space="preserve">Болезни нервной системы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68,08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985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W w:w="1540" w:type="dxa"/>
            <w:textDirection w:val="lrTb"/>
            <w:noWrap/>
          </w:tcPr>
          <w:p>
            <w:pPr>
              <w:pStyle w:val="969"/>
              <w:ind w:firstLine="0"/>
              <w:spacing w:before="0" w:after="0" w:line="220" w:lineRule="exact"/>
              <w:shd w:val="clear" w:color="auto" w:fill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266,1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p>
      <w:pPr>
        <w:pStyle w:val="969"/>
        <w:ind w:right="40" w:firstLine="0"/>
        <w:jc w:val="center"/>
        <w:spacing w:before="239" w:after="0" w:line="320" w:lineRule="exact"/>
        <w:shd w:val="clear" w:color="auto" w:fill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eastAsia="FreeSerif" w:cs="FreeSerif"/>
          <w:sz w:val="28"/>
          <w:szCs w:val="28"/>
        </w:rPr>
        <w:t xml:space="preserve">Заболеваемость населения в Ленинградском муниципальном округе новообразованиями, болезнями системы кровообращения, травмами и отравлениями </w:t>
      </w:r>
      <w:r>
        <w:rPr>
          <w:rFonts w:ascii="FreeSerif" w:hAnsi="FreeSerif" w:eastAsia="FreeSerif" w:cs="FreeSerif"/>
          <w:sz w:val="28"/>
          <w:szCs w:val="28"/>
        </w:rPr>
        <w:t xml:space="preserve">за 2020-2024 годы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right="0" w:firstLine="0"/>
        <w:jc w:val="center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Показатель распространенности злокачественных заболеваний в 2024 году выше уровня предыдущих лет на 19,3%. Рост данного показателя обусловлен как увеличением </w:t>
      </w:r>
      <w:r>
        <w:rPr>
          <w:rFonts w:ascii="FreeSerif" w:hAnsi="FreeSerif" w:eastAsia="FreeSerif" w:cs="FreeSerif"/>
          <w:sz w:val="28"/>
          <w:szCs w:val="28"/>
        </w:rPr>
        <w:t xml:space="preserve">выявляемости</w:t>
      </w:r>
      <w:r>
        <w:rPr>
          <w:rFonts w:ascii="FreeSerif" w:hAnsi="FreeSerif" w:eastAsia="FreeSerif" w:cs="FreeSerif"/>
          <w:sz w:val="28"/>
          <w:szCs w:val="28"/>
        </w:rPr>
        <w:t xml:space="preserve"> злокачественных образований</w:t>
      </w:r>
      <w:r>
        <w:rPr>
          <w:rFonts w:ascii="FreeSerif" w:hAnsi="FreeSerif" w:eastAsia="FreeSerif" w:cs="FreeSerif"/>
          <w:sz w:val="28"/>
          <w:szCs w:val="28"/>
        </w:rPr>
        <w:t xml:space="preserve"> среди населения, так и повышением показателей выживаемости онкологических пациентов. Доля больных, состоящих на учете у онколога районной поликлинике 5 лет и более с момента установления диагноза злокачественного новообразования составила в 2024 году 54%.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Общая заболеваемость детского населения за отчетный период увеличилась на 7%. Н</w:t>
      </w:r>
      <w:r>
        <w:rPr>
          <w:rFonts w:ascii="FreeSerif" w:hAnsi="FreeSerif" w:eastAsia="FreeSerif" w:cs="FreeSerif"/>
          <w:sz w:val="28"/>
          <w:szCs w:val="28"/>
        </w:rPr>
        <w:t xml:space="preserve">аибольшее увеличение отмечается по болезням органов дыхания и пищеварения, а также за счет инфекционных болезней. Отмечается снижение общей заболеваемости детей с болезнями глаза и придаточного аппарата, болезней кожи и подкожной клетчатки, болезней систем</w:t>
      </w:r>
      <w:r>
        <w:rPr>
          <w:rFonts w:ascii="FreeSerif" w:hAnsi="FreeSerif" w:eastAsia="FreeSerif" w:cs="FreeSerif"/>
          <w:sz w:val="28"/>
          <w:szCs w:val="28"/>
        </w:rPr>
        <w:t xml:space="preserve">ы кровообращения. В структуре общей заболеваемости детского населения наибольший удельный вес имеют болезни органов дыхания -48%, болезни органов пищеварения – 7,8%, травмы и другие последствия воздействия внешних причин -6%, болезней нервной системы - 4%.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Общая заболеваемость подросткового населения в возрасте 15-17 лет </w:t>
      </w:r>
      <w:r>
        <w:rPr>
          <w:rFonts w:ascii="FreeSerif" w:hAnsi="FreeSerif" w:eastAsia="FreeSerif" w:cs="FreeSerif"/>
          <w:sz w:val="28"/>
          <w:szCs w:val="28"/>
        </w:rPr>
        <w:t xml:space="preserve">повысилась</w:t>
      </w:r>
      <w:r>
        <w:rPr>
          <w:rFonts w:ascii="FreeSerif" w:hAnsi="FreeSerif" w:eastAsia="FreeSerif" w:cs="FreeSerif"/>
          <w:sz w:val="28"/>
          <w:szCs w:val="28"/>
        </w:rPr>
        <w:t xml:space="preserve"> на 5%. Наибольшее снижение отмечается по болезням кожи - </w:t>
      </w:r>
      <w:r>
        <w:rPr>
          <w:rFonts w:ascii="FreeSerif" w:hAnsi="FreeSerif" w:eastAsia="FreeSerif" w:cs="FreeSerif"/>
          <w:sz w:val="28"/>
          <w:szCs w:val="28"/>
        </w:rPr>
        <w:t xml:space="preserve">8</w:t>
      </w:r>
      <w:r>
        <w:rPr>
          <w:rFonts w:ascii="FreeSerif" w:hAnsi="FreeSerif" w:eastAsia="FreeSerif" w:cs="FreeSerif"/>
          <w:sz w:val="28"/>
          <w:szCs w:val="28"/>
        </w:rPr>
        <w:t xml:space="preserve">%, инфекцио</w:t>
      </w:r>
      <w:r>
        <w:rPr>
          <w:rFonts w:ascii="FreeSerif" w:hAnsi="FreeSerif" w:eastAsia="FreeSerif" w:cs="FreeSerif"/>
          <w:sz w:val="28"/>
          <w:szCs w:val="28"/>
        </w:rPr>
        <w:t xml:space="preserve">нным и паразитарным болезням - 10</w:t>
      </w:r>
      <w:r>
        <w:rPr>
          <w:rFonts w:ascii="FreeSerif" w:hAnsi="FreeSerif" w:eastAsia="FreeSerif" w:cs="FreeSerif"/>
          <w:sz w:val="28"/>
          <w:szCs w:val="28"/>
        </w:rPr>
        <w:t xml:space="preserve">%. Наиболее значимо растут показател</w:t>
      </w:r>
      <w:r>
        <w:rPr>
          <w:rFonts w:ascii="FreeSerif" w:hAnsi="FreeSerif" w:eastAsia="FreeSerif" w:cs="FreeSerif"/>
          <w:sz w:val="28"/>
          <w:szCs w:val="28"/>
        </w:rPr>
        <w:t xml:space="preserve">и заболеваемости по </w:t>
      </w:r>
      <w:r>
        <w:rPr>
          <w:rFonts w:ascii="FreeSerif" w:hAnsi="FreeSerif" w:eastAsia="FreeSerif" w:cs="FreeSerif"/>
          <w:sz w:val="28"/>
          <w:szCs w:val="28"/>
        </w:rPr>
        <w:t xml:space="preserve">травмам - 24</w:t>
      </w:r>
      <w:r>
        <w:rPr>
          <w:rFonts w:ascii="FreeSerif" w:hAnsi="FreeSerif" w:eastAsia="FreeSerif" w:cs="FreeSerif"/>
          <w:sz w:val="28"/>
          <w:szCs w:val="28"/>
        </w:rPr>
        <w:t xml:space="preserve">%, </w:t>
      </w:r>
      <w:r>
        <w:rPr>
          <w:rFonts w:ascii="FreeSerif" w:hAnsi="FreeSerif" w:eastAsia="FreeSerif" w:cs="FreeSerif"/>
          <w:sz w:val="28"/>
          <w:szCs w:val="28"/>
        </w:rPr>
        <w:t xml:space="preserve">болезням глаз -17</w:t>
      </w:r>
      <w:r>
        <w:rPr>
          <w:rFonts w:ascii="FreeSerif" w:hAnsi="FreeSerif" w:eastAsia="FreeSerif" w:cs="FreeSerif"/>
          <w:sz w:val="28"/>
          <w:szCs w:val="28"/>
        </w:rPr>
        <w:t xml:space="preserve">%. В структуре общей заболеваемости подросткового населения наибольший удельный вес и</w:t>
      </w:r>
      <w:r>
        <w:rPr>
          <w:rFonts w:ascii="FreeSerif" w:hAnsi="FreeSerif" w:eastAsia="FreeSerif" w:cs="FreeSerif"/>
          <w:sz w:val="28"/>
          <w:szCs w:val="28"/>
        </w:rPr>
        <w:t xml:space="preserve">меют болезни органов дыхания - 2</w:t>
      </w:r>
      <w:r>
        <w:rPr>
          <w:rFonts w:ascii="FreeSerif" w:hAnsi="FreeSerif" w:eastAsia="FreeSerif" w:cs="FreeSerif"/>
          <w:sz w:val="28"/>
          <w:szCs w:val="28"/>
        </w:rPr>
        <w:t xml:space="preserve">2%, травмы - 10%,</w:t>
      </w:r>
      <w:r>
        <w:rPr>
          <w:rFonts w:ascii="FreeSerif" w:hAnsi="FreeSerif" w:eastAsia="FreeSerif" w:cs="FreeSerif"/>
          <w:sz w:val="28"/>
          <w:szCs w:val="28"/>
        </w:rPr>
        <w:t xml:space="preserve"> болезни органов пищеварения - 8</w:t>
      </w:r>
      <w:r>
        <w:rPr>
          <w:rFonts w:ascii="FreeSerif" w:hAnsi="FreeSerif" w:eastAsia="FreeSerif" w:cs="FreeSerif"/>
          <w:sz w:val="28"/>
          <w:szCs w:val="28"/>
        </w:rPr>
        <w:t xml:space="preserve">.5%, боле</w:t>
      </w:r>
      <w:r>
        <w:rPr>
          <w:rFonts w:ascii="FreeSerif" w:hAnsi="FreeSerif" w:eastAsia="FreeSerif" w:cs="FreeSerif"/>
          <w:sz w:val="28"/>
          <w:szCs w:val="28"/>
        </w:rPr>
        <w:t xml:space="preserve">зни костно-мышечной системы – 12%.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2024</w:t>
      </w:r>
      <w:r>
        <w:rPr>
          <w:rFonts w:ascii="FreeSerif" w:hAnsi="FreeSerif" w:eastAsia="FreeSerif" w:cs="FreeSerif"/>
          <w:sz w:val="28"/>
          <w:szCs w:val="28"/>
        </w:rPr>
        <w:t xml:space="preserve"> году за стоматологической помощью первично обратилось </w:t>
      </w:r>
      <w:r>
        <w:rPr>
          <w:rFonts w:ascii="FreeSerif" w:hAnsi="FreeSerif" w:eastAsia="FreeSerif" w:cs="FreeSerif"/>
          <w:sz w:val="28"/>
          <w:szCs w:val="28"/>
        </w:rPr>
        <w:t xml:space="preserve">17504</w:t>
      </w:r>
      <w:r>
        <w:rPr>
          <w:rFonts w:ascii="FreeSerif" w:hAnsi="FreeSerif" w:eastAsia="FreeSerif" w:cs="FreeSerif"/>
          <w:sz w:val="28"/>
          <w:szCs w:val="28"/>
        </w:rPr>
        <w:t xml:space="preserve"> человек, что составляет </w:t>
      </w:r>
      <w:r>
        <w:rPr>
          <w:rFonts w:ascii="FreeSerif" w:hAnsi="FreeSerif" w:eastAsia="FreeSerif" w:cs="FreeSerif"/>
          <w:sz w:val="28"/>
          <w:szCs w:val="28"/>
        </w:rPr>
        <w:t xml:space="preserve">37</w:t>
      </w:r>
      <w:r>
        <w:rPr>
          <w:rFonts w:ascii="FreeSerif" w:hAnsi="FreeSerif" w:eastAsia="FreeSerif" w:cs="FreeSerif"/>
          <w:sz w:val="28"/>
          <w:szCs w:val="28"/>
        </w:rPr>
        <w:t xml:space="preserve"> % от</w:t>
      </w:r>
      <w:r>
        <w:rPr>
          <w:rFonts w:ascii="FreeSerif" w:hAnsi="FreeSerif" w:eastAsia="FreeSerif" w:cs="FreeSerif"/>
          <w:sz w:val="22"/>
          <w:szCs w:val="22"/>
        </w:rPr>
        <w:t xml:space="preserve"> </w:t>
      </w:r>
      <w:r>
        <w:rPr>
          <w:rFonts w:ascii="FreeSerif" w:hAnsi="FreeSerif" w:eastAsia="FreeSerif" w:cs="FreeSerif"/>
          <w:sz w:val="28"/>
          <w:szCs w:val="28"/>
        </w:rPr>
        <w:t xml:space="preserve">взрослого населения. Проведена санация взрослых 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году </w:t>
      </w:r>
      <w:r>
        <w:rPr>
          <w:rFonts w:ascii="FreeSerif" w:hAnsi="FreeSerif" w:eastAsia="FreeSerif" w:cs="FreeSerif"/>
          <w:sz w:val="28"/>
          <w:szCs w:val="28"/>
        </w:rPr>
        <w:t xml:space="preserve">11112</w:t>
      </w:r>
      <w:r>
        <w:rPr>
          <w:rFonts w:ascii="FreeSerif" w:hAnsi="FreeSerif" w:eastAsia="FreeSerif" w:cs="FreeSerif"/>
          <w:sz w:val="28"/>
          <w:szCs w:val="28"/>
        </w:rPr>
        <w:t xml:space="preserve"> человек(</w:t>
      </w:r>
      <w:r>
        <w:rPr>
          <w:rFonts w:ascii="FreeSerif" w:hAnsi="FreeSerif" w:eastAsia="FreeSerif" w:cs="FreeSerif"/>
          <w:sz w:val="28"/>
          <w:szCs w:val="28"/>
        </w:rPr>
        <w:t xml:space="preserve">63,4</w:t>
      </w:r>
      <w:r>
        <w:rPr>
          <w:rFonts w:ascii="FreeSerif" w:hAnsi="FreeSerif" w:eastAsia="FreeSerif" w:cs="FreeSerif"/>
          <w:sz w:val="28"/>
          <w:szCs w:val="28"/>
        </w:rPr>
        <w:t xml:space="preserve"> % от числа первично обратившихся). 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</w:t>
      </w:r>
      <w:r>
        <w:rPr>
          <w:rFonts w:ascii="FreeSerif" w:hAnsi="FreeSerif" w:eastAsia="FreeSerif" w:cs="FreeSerif"/>
          <w:sz w:val="28"/>
          <w:szCs w:val="28"/>
        </w:rPr>
        <w:t xml:space="preserve"> 2024 </w:t>
      </w:r>
      <w:r>
        <w:rPr>
          <w:rFonts w:ascii="FreeSerif" w:hAnsi="FreeSerif" w:eastAsia="FreeSerif" w:cs="FreeSerif"/>
          <w:sz w:val="28"/>
          <w:szCs w:val="28"/>
        </w:rPr>
        <w:t xml:space="preserve">году с профилактической целью осмотрено </w:t>
      </w:r>
      <w:r>
        <w:rPr>
          <w:rFonts w:ascii="FreeSerif" w:hAnsi="FreeSerif" w:eastAsia="FreeSerif" w:cs="FreeSerif"/>
          <w:sz w:val="28"/>
          <w:szCs w:val="28"/>
        </w:rPr>
        <w:t xml:space="preserve">8872</w:t>
      </w:r>
      <w:r>
        <w:rPr>
          <w:rFonts w:ascii="FreeSerif" w:hAnsi="FreeSerif" w:eastAsia="FreeSerif" w:cs="FreeSerif"/>
          <w:sz w:val="28"/>
          <w:szCs w:val="28"/>
        </w:rPr>
        <w:t xml:space="preserve"> человек</w:t>
      </w:r>
      <w:r>
        <w:rPr>
          <w:rFonts w:ascii="FreeSerif" w:hAnsi="FreeSerif" w:eastAsia="FreeSerif" w:cs="FreeSerif"/>
          <w:sz w:val="28"/>
          <w:szCs w:val="28"/>
        </w:rPr>
        <w:t xml:space="preserve">а</w:t>
      </w:r>
      <w:r>
        <w:rPr>
          <w:rFonts w:ascii="FreeSerif" w:hAnsi="FreeSerif" w:eastAsia="FreeSerif" w:cs="FreeSerif"/>
          <w:sz w:val="28"/>
          <w:szCs w:val="28"/>
        </w:rPr>
        <w:t xml:space="preserve">.</w:t>
      </w:r>
      <w:r>
        <w:rPr>
          <w:rFonts w:ascii="FreeSerif" w:hAnsi="FreeSerif" w:eastAsia="FreeSerif" w:cs="FreeSerif"/>
          <w:sz w:val="28"/>
          <w:szCs w:val="28"/>
        </w:rPr>
        <w:t xml:space="preserve"> За 2020-2024 годы в Ленинградском муниципальном округе отмечено стабильное снижение заболеваемости инфекциями, передающимися половым путем, которые входят в перечень</w:t>
      </w:r>
      <w:r>
        <w:rPr>
          <w:rFonts w:ascii="FreeSerif" w:hAnsi="FreeSerif" w:eastAsia="FreeSerif" w:cs="FreeSerif"/>
          <w:sz w:val="28"/>
          <w:szCs w:val="28"/>
        </w:rPr>
        <w:t xml:space="preserve"> социально значимых заболеваний согласно постановления Правительства РФ от 1 декабря 2004 года № 715 «Об утверждении перечня социально значимых заболеваний и перечня заболеваний, представляющих опасность для окружающих» и подлежат обязательной регистрации.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Заболеваемость сифилисом в 2020 году составила 7,9 (на 100 тыс. населения), в 2024 году составила 7,4 (на 100 тыс. населения). Заболеваемость сифилисом с неустойчивой динамикой, показатель снизился относительно 2020 года.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У беременных женщин с 2020 года случаев сифилиса не выявлено. Не было зафиксировано случаев заболеваний сифилисом среди детей и подростков. За период 2020-2024 гг. зарегистрирован  1 случай заболевания гонореей.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Заболеваемость </w:t>
      </w:r>
      <w:r>
        <w:rPr>
          <w:rFonts w:ascii="FreeSerif" w:hAnsi="FreeSerif" w:eastAsia="FreeSerif" w:cs="FreeSerif"/>
          <w:sz w:val="28"/>
          <w:szCs w:val="28"/>
        </w:rPr>
        <w:t xml:space="preserve">хламидийной</w:t>
      </w:r>
      <w:r>
        <w:rPr>
          <w:rFonts w:ascii="FreeSerif" w:hAnsi="FreeSerif" w:eastAsia="FreeSerif" w:cs="FreeSerif"/>
          <w:sz w:val="28"/>
          <w:szCs w:val="28"/>
        </w:rPr>
        <w:t xml:space="preserve"> инфекцией  за 12 месяцев 20</w:t>
      </w:r>
      <w:r>
        <w:rPr>
          <w:rFonts w:ascii="FreeSerif" w:hAnsi="FreeSerif" w:eastAsia="FreeSerif" w:cs="FreeSerif"/>
          <w:sz w:val="28"/>
          <w:szCs w:val="28"/>
        </w:rPr>
        <w:t xml:space="preserve">24 </w:t>
      </w:r>
      <w:r>
        <w:rPr>
          <w:rFonts w:ascii="FreeSerif" w:hAnsi="FreeSerif" w:eastAsia="FreeSerif" w:cs="FreeSerif"/>
          <w:sz w:val="28"/>
          <w:szCs w:val="28"/>
        </w:rPr>
        <w:t xml:space="preserve">года увеличилась и составила </w:t>
      </w:r>
      <w:r>
        <w:rPr>
          <w:rFonts w:ascii="FreeSerif" w:hAnsi="FreeSerif" w:eastAsia="FreeSerif" w:cs="FreeSerif"/>
          <w:sz w:val="28"/>
          <w:szCs w:val="28"/>
        </w:rPr>
        <w:t xml:space="preserve">5,1</w:t>
      </w:r>
      <w:r>
        <w:rPr>
          <w:rFonts w:ascii="FreeSerif" w:hAnsi="FreeSerif" w:eastAsia="FreeSerif" w:cs="FreeSerif"/>
          <w:sz w:val="28"/>
          <w:szCs w:val="28"/>
        </w:rPr>
        <w:t xml:space="preserve"> ( в 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году - </w:t>
      </w:r>
      <w:r>
        <w:rPr>
          <w:rFonts w:ascii="FreeSerif" w:hAnsi="FreeSerif" w:eastAsia="FreeSerif" w:cs="FreeSerif"/>
          <w:sz w:val="28"/>
          <w:szCs w:val="28"/>
        </w:rPr>
        <w:t xml:space="preserve">1 случай</w:t>
      </w:r>
      <w:r>
        <w:rPr>
          <w:rFonts w:ascii="FreeSerif" w:hAnsi="FreeSerif" w:eastAsia="FreeSerif" w:cs="FreeSerif"/>
          <w:sz w:val="28"/>
          <w:szCs w:val="28"/>
        </w:rPr>
        <w:t xml:space="preserve">). Уровень заболеваемости трихомониазом 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</w:t>
      </w:r>
      <w:r>
        <w:rPr>
          <w:rFonts w:ascii="FreeSerif" w:hAnsi="FreeSerif" w:eastAsia="FreeSerif" w:cs="FreeSerif"/>
          <w:sz w:val="28"/>
          <w:szCs w:val="28"/>
        </w:rPr>
        <w:t xml:space="preserve">снизился</w:t>
      </w:r>
      <w:r>
        <w:rPr>
          <w:rFonts w:ascii="FreeSerif" w:hAnsi="FreeSerif" w:eastAsia="FreeSerif" w:cs="FreeSerif"/>
          <w:sz w:val="28"/>
          <w:szCs w:val="28"/>
        </w:rPr>
        <w:t xml:space="preserve"> от показателя </w:t>
      </w:r>
      <w:r>
        <w:rPr>
          <w:rFonts w:ascii="FreeSerif" w:hAnsi="FreeSerif" w:eastAsia="FreeSerif" w:cs="FreeSerif"/>
          <w:sz w:val="28"/>
          <w:szCs w:val="28"/>
        </w:rPr>
        <w:t xml:space="preserve">2020 года</w:t>
      </w:r>
      <w:r>
        <w:rPr>
          <w:rFonts w:ascii="FreeSerif" w:hAnsi="FreeSerif" w:eastAsia="FreeSerif" w:cs="FreeSerif"/>
          <w:sz w:val="28"/>
          <w:szCs w:val="28"/>
        </w:rPr>
        <w:t xml:space="preserve"> (</w:t>
      </w:r>
      <w:r>
        <w:rPr>
          <w:rFonts w:ascii="FreeSerif" w:hAnsi="FreeSerif" w:eastAsia="FreeSerif" w:cs="FreeSerif"/>
          <w:sz w:val="28"/>
          <w:szCs w:val="28"/>
        </w:rPr>
        <w:t xml:space="preserve">2020 год – 11 чел., 2024 год – 5 чел.)</w:t>
      </w:r>
      <w:r>
        <w:rPr>
          <w:rFonts w:ascii="FreeSerif" w:hAnsi="FreeSerif" w:eastAsia="FreeSerif" w:cs="FreeSerif"/>
          <w:sz w:val="28"/>
          <w:szCs w:val="28"/>
        </w:rPr>
        <w:t xml:space="preserve">). Случаев </w:t>
      </w:r>
      <w:r>
        <w:rPr>
          <w:rFonts w:ascii="FreeSerif" w:hAnsi="FreeSerif" w:eastAsia="FreeSerif" w:cs="FreeSerif"/>
          <w:sz w:val="28"/>
          <w:szCs w:val="28"/>
        </w:rPr>
        <w:t xml:space="preserve">урогенитального</w:t>
      </w:r>
      <w:r>
        <w:rPr>
          <w:rFonts w:ascii="FreeSerif" w:hAnsi="FreeSerif" w:eastAsia="FreeSerif" w:cs="FreeSerif"/>
          <w:sz w:val="28"/>
          <w:szCs w:val="28"/>
        </w:rPr>
        <w:t xml:space="preserve"> герпеса на территории округа в 20</w:t>
      </w:r>
      <w:r>
        <w:rPr>
          <w:rFonts w:ascii="FreeSerif" w:hAnsi="FreeSerif" w:eastAsia="FreeSerif" w:cs="FreeSerif"/>
          <w:sz w:val="28"/>
          <w:szCs w:val="28"/>
        </w:rPr>
        <w:t xml:space="preserve">24 </w:t>
      </w:r>
      <w:r>
        <w:rPr>
          <w:rFonts w:ascii="FreeSerif" w:hAnsi="FreeSerif" w:eastAsia="FreeSerif" w:cs="FreeSerif"/>
          <w:sz w:val="28"/>
          <w:szCs w:val="28"/>
        </w:rPr>
        <w:t xml:space="preserve"> году </w:t>
      </w:r>
      <w:r>
        <w:rPr>
          <w:rFonts w:ascii="FreeSerif" w:hAnsi="FreeSerif" w:eastAsia="FreeSerif" w:cs="FreeSerif"/>
          <w:sz w:val="28"/>
          <w:szCs w:val="28"/>
        </w:rPr>
        <w:t xml:space="preserve">3 человека</w:t>
      </w:r>
      <w:r>
        <w:rPr>
          <w:rFonts w:ascii="FreeSerif" w:hAnsi="FreeSerif" w:eastAsia="FreeSerif" w:cs="FreeSerif"/>
          <w:sz w:val="28"/>
          <w:szCs w:val="28"/>
        </w:rPr>
        <w:t xml:space="preserve">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Динамика числа наркологических расстройств, зарегистрированных наркологической службой  за 5 лет идет на снижение.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Большинство из зарегистрирова</w:t>
      </w:r>
      <w:r>
        <w:rPr>
          <w:rFonts w:ascii="FreeSerif" w:hAnsi="FreeSerif" w:eastAsia="FreeSerif" w:cs="FreeSerif"/>
          <w:sz w:val="28"/>
          <w:szCs w:val="28"/>
        </w:rPr>
        <w:t xml:space="preserve">нных заболеваний, составляют алкоголизм, алкогольные психозы и употребление алкоголя с вредными последствиями. На их долю приходится 56,3% (76 человек) от общего числа зарегистрированных больных, на больных наркоманией и лиц, употребляющих ненаркотические </w:t>
      </w:r>
      <w:r>
        <w:rPr>
          <w:rFonts w:ascii="FreeSerif" w:hAnsi="FreeSerif" w:eastAsia="FreeSerif" w:cs="FreeSerif"/>
          <w:sz w:val="28"/>
          <w:szCs w:val="28"/>
        </w:rPr>
        <w:t xml:space="preserve">психоактивные</w:t>
      </w:r>
      <w:r>
        <w:rPr>
          <w:rFonts w:ascii="FreeSerif" w:hAnsi="FreeSerif" w:eastAsia="FreeSerif" w:cs="FreeSerif"/>
          <w:sz w:val="28"/>
          <w:szCs w:val="28"/>
        </w:rPr>
        <w:t xml:space="preserve"> вещества - 43,7% (59 человек).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2024 году впервые выявлено 5 потребителей </w:t>
      </w:r>
      <w:r>
        <w:rPr>
          <w:rFonts w:ascii="FreeSerif" w:hAnsi="FreeSerif" w:eastAsia="FreeSerif" w:cs="FreeSerif"/>
          <w:sz w:val="28"/>
          <w:szCs w:val="28"/>
        </w:rPr>
        <w:t xml:space="preserve">психоактивных</w:t>
      </w:r>
      <w:r>
        <w:rPr>
          <w:rFonts w:ascii="FreeSerif" w:hAnsi="FreeSerif" w:eastAsia="FreeSerif" w:cs="FreeSerif"/>
          <w:sz w:val="28"/>
          <w:szCs w:val="28"/>
        </w:rPr>
        <w:t xml:space="preserve"> веществ, что на 45,4 % ниже уровня 2020 года (11 человек).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2024 году  зарегистрировано 36 больных алкоголизмом и алкогольным психозами, что составляет 61, 2%  на 100 тыс. населения. По сравнению с 2020 годом (123 больных или 194,3 на 100 тыс. населения), снижение составило 70,7%.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2024 году зарегистрировано 22 больных наркоманией, или 37,4 на 100 тыс. населения. По сравнению с 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годом (</w:t>
      </w:r>
      <w:r>
        <w:rPr>
          <w:rFonts w:ascii="FreeSerif" w:hAnsi="FreeSerif" w:eastAsia="FreeSerif" w:cs="FreeSerif"/>
          <w:sz w:val="28"/>
          <w:szCs w:val="28"/>
        </w:rPr>
        <w:t xml:space="preserve">42,7</w:t>
      </w:r>
      <w:r>
        <w:rPr>
          <w:rFonts w:ascii="FreeSerif" w:hAnsi="FreeSerif" w:eastAsia="FreeSerif" w:cs="FreeSerif"/>
          <w:sz w:val="28"/>
          <w:szCs w:val="28"/>
        </w:rPr>
        <w:t xml:space="preserve"> или </w:t>
      </w:r>
      <w:r>
        <w:rPr>
          <w:rFonts w:ascii="FreeSerif" w:hAnsi="FreeSerif" w:eastAsia="FreeSerif" w:cs="FreeSerif"/>
          <w:sz w:val="28"/>
          <w:szCs w:val="28"/>
        </w:rPr>
        <w:t xml:space="preserve">46</w:t>
      </w:r>
      <w:r>
        <w:rPr>
          <w:rFonts w:ascii="FreeSerif" w:hAnsi="FreeSerif" w:eastAsia="FreeSerif" w:cs="FreeSerif"/>
          <w:sz w:val="28"/>
          <w:szCs w:val="28"/>
        </w:rPr>
        <w:t xml:space="preserve"> человек). Этот показатель снизился </w:t>
      </w:r>
      <w:r>
        <w:rPr>
          <w:rFonts w:ascii="FreeSerif" w:hAnsi="FreeSerif" w:eastAsia="FreeSerif" w:cs="FreeSerif"/>
          <w:sz w:val="28"/>
          <w:szCs w:val="28"/>
        </w:rPr>
        <w:t xml:space="preserve">на 52,2</w:t>
      </w:r>
      <w:r>
        <w:rPr>
          <w:rFonts w:ascii="FreeSerif" w:hAnsi="FreeSerif" w:eastAsia="FreeSerif" w:cs="FreeSerif"/>
          <w:sz w:val="28"/>
          <w:szCs w:val="28"/>
        </w:rPr>
        <w:t xml:space="preserve"> 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структуре зарегистрированных больных наркоманией большинство составляют употребляющие сочетания различных наркотиков (</w:t>
      </w:r>
      <w:r>
        <w:rPr>
          <w:rFonts w:ascii="FreeSerif" w:hAnsi="FreeSerif" w:eastAsia="FreeSerif" w:cs="FreeSerif"/>
          <w:sz w:val="28"/>
          <w:szCs w:val="28"/>
        </w:rPr>
        <w:t xml:space="preserve">миксов</w:t>
      </w:r>
      <w:r>
        <w:rPr>
          <w:rFonts w:ascii="FreeSerif" w:hAnsi="FreeSerif" w:eastAsia="FreeSerif" w:cs="FreeSerif"/>
          <w:sz w:val="28"/>
          <w:szCs w:val="28"/>
        </w:rPr>
        <w:t xml:space="preserve">) – 63,5 % - 14 человек, </w:t>
      </w:r>
      <w:r>
        <w:rPr>
          <w:rFonts w:ascii="FreeSerif" w:hAnsi="FreeSerif" w:eastAsia="FreeSerif" w:cs="FreeSerif"/>
          <w:sz w:val="28"/>
          <w:szCs w:val="28"/>
        </w:rPr>
        <w:t xml:space="preserve">далее с </w:t>
      </w:r>
      <w:r>
        <w:rPr>
          <w:rFonts w:ascii="FreeSerif" w:hAnsi="FreeSerif" w:eastAsia="FreeSerif" w:cs="FreeSerif"/>
          <w:sz w:val="28"/>
          <w:szCs w:val="28"/>
        </w:rPr>
        <w:t xml:space="preserve">опиоидной</w:t>
      </w:r>
      <w:r>
        <w:rPr>
          <w:rFonts w:ascii="FreeSerif" w:hAnsi="FreeSerif" w:eastAsia="FreeSerif" w:cs="FreeSerif"/>
          <w:sz w:val="28"/>
          <w:szCs w:val="28"/>
        </w:rPr>
        <w:t xml:space="preserve"> зависимостью – 32% или 7 человек, 1 пациент от </w:t>
      </w:r>
      <w:r>
        <w:rPr>
          <w:rFonts w:ascii="FreeSerif" w:hAnsi="FreeSerif" w:eastAsia="FreeSerif" w:cs="FreeSerif"/>
          <w:sz w:val="28"/>
          <w:szCs w:val="28"/>
        </w:rPr>
        <w:t xml:space="preserve">каннабиоидов</w:t>
      </w:r>
      <w:r>
        <w:rPr>
          <w:rFonts w:ascii="FreeSerif" w:hAnsi="FreeSerif" w:eastAsia="FreeSerif" w:cs="FreeSerif"/>
          <w:sz w:val="28"/>
          <w:szCs w:val="28"/>
        </w:rPr>
        <w:t xml:space="preserve"> (4,5%).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Общее число зарегистрированных потребителей наркотиков (включая больных наркоманией и лиц, употребляющих наркотики с вредными последствиями) 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году составило </w:t>
      </w:r>
      <w:r>
        <w:rPr>
          <w:rFonts w:ascii="FreeSerif" w:hAnsi="FreeSerif" w:eastAsia="FreeSerif" w:cs="FreeSerif"/>
          <w:sz w:val="28"/>
          <w:szCs w:val="28"/>
        </w:rPr>
        <w:t xml:space="preserve">45</w:t>
      </w:r>
      <w:r>
        <w:rPr>
          <w:rFonts w:ascii="FreeSerif" w:hAnsi="FreeSerif" w:eastAsia="FreeSerif" w:cs="FreeSerif"/>
          <w:sz w:val="28"/>
          <w:szCs w:val="28"/>
        </w:rPr>
        <w:t xml:space="preserve"> человек (</w:t>
      </w:r>
      <w:r>
        <w:rPr>
          <w:rFonts w:ascii="FreeSerif" w:hAnsi="FreeSerif" w:eastAsia="FreeSerif" w:cs="FreeSerif"/>
          <w:sz w:val="28"/>
          <w:szCs w:val="28"/>
        </w:rPr>
        <w:t xml:space="preserve">76,5</w:t>
      </w:r>
      <w:r>
        <w:rPr>
          <w:rFonts w:ascii="FreeSerif" w:hAnsi="FreeSerif" w:eastAsia="FreeSerif" w:cs="FreeSerif"/>
          <w:sz w:val="28"/>
          <w:szCs w:val="28"/>
        </w:rPr>
        <w:t xml:space="preserve"> на 100 тыс. населения). В сравнении с 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годом показатель снизился на </w:t>
      </w:r>
      <w:r>
        <w:rPr>
          <w:rFonts w:ascii="FreeSerif" w:hAnsi="FreeSerif" w:eastAsia="FreeSerif" w:cs="FreeSerif"/>
          <w:sz w:val="28"/>
          <w:szCs w:val="28"/>
        </w:rPr>
        <w:t xml:space="preserve">15</w:t>
      </w:r>
      <w:r>
        <w:rPr>
          <w:rFonts w:ascii="FreeSerif" w:hAnsi="FreeSerif" w:eastAsia="FreeSerif" w:cs="FreeSerif"/>
          <w:sz w:val="28"/>
          <w:szCs w:val="28"/>
        </w:rPr>
        <w:t xml:space="preserve">% (20</w:t>
      </w:r>
      <w:r>
        <w:rPr>
          <w:rFonts w:ascii="FreeSerif" w:hAnsi="FreeSerif" w:eastAsia="FreeSerif" w:cs="FreeSerif"/>
          <w:sz w:val="28"/>
          <w:szCs w:val="28"/>
        </w:rPr>
        <w:t xml:space="preserve">20 год- 53</w:t>
      </w:r>
      <w:r>
        <w:rPr>
          <w:rFonts w:ascii="FreeSerif" w:hAnsi="FreeSerif" w:eastAsia="FreeSerif" w:cs="FreeSerif"/>
          <w:sz w:val="28"/>
          <w:szCs w:val="28"/>
        </w:rPr>
        <w:t xml:space="preserve"> человек</w:t>
      </w:r>
      <w:r>
        <w:rPr>
          <w:rFonts w:ascii="FreeSerif" w:hAnsi="FreeSerif" w:eastAsia="FreeSerif" w:cs="FreeSerif"/>
          <w:sz w:val="28"/>
          <w:szCs w:val="28"/>
        </w:rPr>
        <w:t xml:space="preserve">а или 83,7</w:t>
      </w:r>
      <w:r>
        <w:rPr>
          <w:rFonts w:ascii="FreeSerif" w:hAnsi="FreeSerif" w:eastAsia="FreeSerif" w:cs="FreeSerif"/>
          <w:sz w:val="28"/>
          <w:szCs w:val="28"/>
        </w:rPr>
        <w:t xml:space="preserve"> на 100 тыс. населения). Из общего числа потреб</w:t>
      </w:r>
      <w:r>
        <w:rPr>
          <w:rFonts w:ascii="FreeSerif" w:hAnsi="FreeSerif" w:eastAsia="FreeSerif" w:cs="FreeSerif"/>
          <w:sz w:val="28"/>
          <w:szCs w:val="28"/>
        </w:rPr>
        <w:t xml:space="preserve">ителей наркотиков инъекционным способом нет</w:t>
      </w:r>
      <w:r>
        <w:rPr>
          <w:rFonts w:ascii="FreeSerif" w:hAnsi="FreeSerif" w:eastAsia="FreeSerif" w:cs="FreeSerif"/>
          <w:sz w:val="28"/>
          <w:szCs w:val="28"/>
        </w:rPr>
        <w:t xml:space="preserve">. 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году впервые в жизни за наркологической помощью обратил</w:t>
      </w:r>
      <w:r>
        <w:rPr>
          <w:rFonts w:ascii="FreeSerif" w:hAnsi="FreeSerif" w:eastAsia="FreeSerif" w:cs="FreeSerif"/>
          <w:sz w:val="28"/>
          <w:szCs w:val="28"/>
        </w:rPr>
        <w:t xml:space="preserve">ись 63 человека</w:t>
      </w:r>
      <w:r>
        <w:rPr>
          <w:rFonts w:ascii="FreeSerif" w:hAnsi="FreeSerif" w:eastAsia="FreeSerif" w:cs="FreeSerif"/>
          <w:sz w:val="28"/>
          <w:szCs w:val="28"/>
        </w:rPr>
        <w:t xml:space="preserve">. </w:t>
      </w:r>
      <w:r>
        <w:rPr>
          <w:rFonts w:ascii="FreeSerif" w:hAnsi="FreeSerif" w:eastAsia="FreeSerif" w:cs="FreeSerif"/>
          <w:sz w:val="28"/>
          <w:szCs w:val="28"/>
        </w:rPr>
        <w:t xml:space="preserve">По итогам 20</w:t>
      </w:r>
      <w:r>
        <w:rPr>
          <w:rFonts w:ascii="FreeSerif" w:hAnsi="FreeSerif" w:eastAsia="FreeSerif" w:cs="FreeSerif"/>
          <w:sz w:val="28"/>
          <w:szCs w:val="28"/>
        </w:rPr>
        <w:t xml:space="preserve">24 года зарегистрированных потребителей </w:t>
      </w:r>
      <w:r>
        <w:rPr>
          <w:rFonts w:ascii="FreeSerif" w:hAnsi="FreeSerif" w:eastAsia="FreeSerif" w:cs="FreeSerif"/>
          <w:sz w:val="28"/>
          <w:szCs w:val="28"/>
        </w:rPr>
        <w:t xml:space="preserve">психоактивных</w:t>
      </w:r>
      <w:r>
        <w:rPr>
          <w:rFonts w:ascii="FreeSerif" w:hAnsi="FreeSerif" w:eastAsia="FreeSerif" w:cs="FreeSerif"/>
          <w:sz w:val="28"/>
          <w:szCs w:val="28"/>
        </w:rPr>
        <w:t xml:space="preserve"> веществ среди несовершеннолетних не было, что на 10</w:t>
      </w:r>
      <w:r>
        <w:rPr>
          <w:rFonts w:ascii="FreeSerif" w:hAnsi="FreeSerif" w:eastAsia="FreeSerif" w:cs="FreeSerif"/>
          <w:sz w:val="28"/>
          <w:szCs w:val="28"/>
        </w:rPr>
        <w:t xml:space="preserve">0% ниже, чем в 20</w:t>
      </w:r>
      <w:r>
        <w:rPr>
          <w:rFonts w:ascii="FreeSerif" w:hAnsi="FreeSerif" w:eastAsia="FreeSerif" w:cs="FreeSerif"/>
          <w:sz w:val="28"/>
          <w:szCs w:val="28"/>
        </w:rPr>
        <w:t xml:space="preserve">20 году (1 человек</w:t>
      </w:r>
      <w:r>
        <w:rPr>
          <w:rFonts w:ascii="FreeSerif" w:hAnsi="FreeSerif" w:eastAsia="FreeSerif" w:cs="FreeSerif"/>
          <w:sz w:val="28"/>
          <w:szCs w:val="28"/>
        </w:rPr>
        <w:t xml:space="preserve">).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За 2020</w:t>
      </w:r>
      <w:r>
        <w:rPr>
          <w:rFonts w:ascii="FreeSerif" w:hAnsi="FreeSerif" w:eastAsia="FreeSerif" w:cs="FreeSerif"/>
          <w:sz w:val="28"/>
          <w:szCs w:val="28"/>
        </w:rPr>
        <w:t xml:space="preserve"> - 20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годы снизилось число несовершеннолетних, доставленных на медицинское освидетельствование на состояние опьянения (20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</w:t>
      </w:r>
      <w:r>
        <w:rPr>
          <w:rFonts w:ascii="FreeSerif" w:hAnsi="FreeSerif" w:eastAsia="FreeSerif" w:cs="FreeSerif"/>
          <w:sz w:val="28"/>
          <w:szCs w:val="28"/>
        </w:rPr>
        <w:t xml:space="preserve">год-15</w:t>
      </w:r>
      <w:r>
        <w:rPr>
          <w:rFonts w:ascii="FreeSerif" w:hAnsi="FreeSerif" w:eastAsia="FreeSerif" w:cs="FreeSerif"/>
          <w:sz w:val="28"/>
          <w:szCs w:val="28"/>
        </w:rPr>
        <w:t xml:space="preserve"> человек, 20</w:t>
      </w:r>
      <w:r>
        <w:rPr>
          <w:rFonts w:ascii="FreeSerif" w:hAnsi="FreeSerif" w:eastAsia="FreeSerif" w:cs="FreeSerif"/>
          <w:sz w:val="28"/>
          <w:szCs w:val="28"/>
        </w:rPr>
        <w:t xml:space="preserve">24 год - 11</w:t>
      </w:r>
      <w:r>
        <w:rPr>
          <w:rFonts w:ascii="FreeSerif" w:hAnsi="FreeSerif" w:eastAsia="FreeSerif" w:cs="FreeSerif"/>
          <w:sz w:val="28"/>
          <w:szCs w:val="28"/>
        </w:rPr>
        <w:t xml:space="preserve"> человек).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20" w:firstLine="700"/>
        <w:spacing w:before="0" w:after="0" w:line="240" w:lineRule="auto"/>
        <w:shd w:val="clear" w:color="auto" w:fill="auto"/>
        <w:rPr>
          <w:rFonts w:ascii="FreeSerif" w:hAnsi="FreeSerif" w:cs="FreeSerif"/>
          <w:sz w:val="22"/>
          <w:szCs w:val="22"/>
        </w:rPr>
      </w:pPr>
      <w:r>
        <w:rPr>
          <w:rFonts w:ascii="FreeSerif" w:hAnsi="FreeSerif" w:eastAsia="FreeSerif" w:cs="FreeSerif"/>
          <w:sz w:val="22"/>
          <w:szCs w:val="22"/>
        </w:rPr>
      </w:r>
      <w:r>
        <w:rPr>
          <w:rFonts w:ascii="FreeSerif" w:hAnsi="FreeSerif" w:cs="FreeSerif"/>
          <w:sz w:val="22"/>
          <w:szCs w:val="22"/>
        </w:rPr>
      </w:r>
      <w:r>
        <w:rPr>
          <w:rFonts w:ascii="FreeSerif" w:hAnsi="FreeSerif" w:cs="FreeSerif"/>
          <w:sz w:val="22"/>
          <w:szCs w:val="22"/>
        </w:rPr>
      </w:r>
    </w:p>
    <w:p>
      <w:pPr>
        <w:pStyle w:val="969"/>
        <w:ind w:left="0" w:firstLine="709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Ресурсы инфраструктуры службы.</w:t>
      </w: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firstLine="700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муниципальном образовании Ленинградский муниципальный округ Краснодарского края на 1 января 20</w:t>
      </w:r>
      <w:r>
        <w:rPr>
          <w:rFonts w:ascii="FreeSerif" w:hAnsi="FreeSerif" w:eastAsia="FreeSerif" w:cs="FreeSerif"/>
          <w:sz w:val="28"/>
          <w:szCs w:val="28"/>
        </w:rPr>
        <w:t xml:space="preserve">25</w:t>
      </w:r>
      <w:r>
        <w:rPr>
          <w:rFonts w:ascii="FreeSerif" w:hAnsi="FreeSerif" w:eastAsia="FreeSerif" w:cs="FreeSerif"/>
          <w:sz w:val="28"/>
          <w:szCs w:val="28"/>
        </w:rPr>
        <w:t xml:space="preserve"> года функционирует ГБУЗ «Ленинградская ЦРБ» М3 КК в состав которого входят: 18 лечебно профилактических учреждений, в том числе: врачебны</w:t>
      </w:r>
      <w:r>
        <w:rPr>
          <w:rFonts w:ascii="FreeSerif" w:hAnsi="FreeSerif" w:eastAsia="FreeSerif" w:cs="FreeSerif"/>
          <w:sz w:val="28"/>
          <w:szCs w:val="28"/>
        </w:rPr>
        <w:t xml:space="preserve">х амбулаторий - 9</w:t>
      </w:r>
      <w:r>
        <w:rPr>
          <w:rFonts w:ascii="FreeSerif" w:hAnsi="FreeSerif" w:eastAsia="FreeSerif" w:cs="FreeSerif"/>
          <w:sz w:val="28"/>
          <w:szCs w:val="28"/>
        </w:rPr>
        <w:t xml:space="preserve">; участковых больниц -2; </w:t>
      </w:r>
      <w:r>
        <w:rPr>
          <w:rFonts w:ascii="FreeSerif" w:hAnsi="FreeSerif" w:eastAsia="FreeSerif" w:cs="FreeSerif"/>
          <w:sz w:val="28"/>
          <w:szCs w:val="28"/>
        </w:rPr>
        <w:t xml:space="preserve">фельдшерско</w:t>
      </w:r>
      <w:r>
        <w:rPr>
          <w:rFonts w:ascii="FreeSerif" w:hAnsi="FreeSerif" w:eastAsia="FreeSerif" w:cs="FreeSerif"/>
          <w:sz w:val="28"/>
          <w:szCs w:val="28"/>
        </w:rPr>
        <w:t xml:space="preserve">- акушерских пунктов -6; здравпунктов - 2.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пределах часовой доступности для прикрепленного населения функционирует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1 первичное сосудистое отделение, 1 региональный сосудистый центр,       1 онкологический центр, 1 травматологический центр.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left"/>
        <w:spacing w:before="0" w:after="0" w:afterAutospacing="0" w:line="240" w:lineRule="auto"/>
        <w:shd w:val="clear" w:color="auto" w:fill="auto"/>
        <w:rPr>
          <w:rFonts w:ascii="FreeSerif" w:hAnsi="FreeSerif" w:eastAsia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Мощность всех лечебных учреждений округа</w:t>
      </w:r>
      <w:r>
        <w:rPr>
          <w:rFonts w:ascii="FreeSerif" w:hAnsi="FreeSerif" w:eastAsia="FreeSerif" w:cs="FreeSerif"/>
          <w:sz w:val="28"/>
          <w:szCs w:val="28"/>
        </w:rPr>
        <w:t xml:space="preserve"> в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году составила: </w:t>
      </w: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eastAsia="FreeSerif" w:cs="FreeSerif"/>
          <w:sz w:val="28"/>
          <w:szCs w:val="28"/>
        </w:rPr>
      </w:r>
    </w:p>
    <w:p>
      <w:pPr>
        <w:pStyle w:val="969"/>
        <w:ind w:left="0" w:right="0" w:firstLine="709"/>
        <w:jc w:val="left"/>
        <w:spacing w:before="0" w:after="0" w:afterAutospacing="0" w:line="240" w:lineRule="auto"/>
        <w:shd w:val="clear" w:color="auto" w:fill="auto"/>
        <w:rPr>
          <w:rFonts w:ascii="FreeSerif" w:hAnsi="FreeSerif" w:eastAsia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амбулаторно поликлиническая служба на 1630 посещений; </w:t>
      </w: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eastAsia="FreeSerif" w:cs="FreeSerif"/>
          <w:sz w:val="28"/>
          <w:szCs w:val="28"/>
        </w:rPr>
      </w:r>
    </w:p>
    <w:p>
      <w:pPr>
        <w:pStyle w:val="969"/>
        <w:ind w:left="0" w:right="0" w:firstLine="709"/>
        <w:jc w:val="left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стационарная служба на 550 коек, в том числе в разрезе ЛПУ: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firstLine="709"/>
        <w:jc w:val="both"/>
        <w:spacing w:before="0" w:after="0" w:afterAutospacing="0" w:line="240" w:lineRule="auto"/>
        <w:shd w:val="clear" w:color="auto" w:fill="auto"/>
        <w:tabs>
          <w:tab w:val="left" w:pos="91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ЦРБ на 444 койки с поликлиникой на 1392 посещения в смену;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right="20" w:firstLine="709"/>
        <w:jc w:val="both"/>
        <w:spacing w:before="0" w:after="0" w:afterAutospacing="0" w:line="240" w:lineRule="auto"/>
        <w:shd w:val="clear" w:color="auto" w:fill="auto"/>
        <w:tabs>
          <w:tab w:val="left" w:pos="95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участковая бол</w:t>
      </w:r>
      <w:r>
        <w:rPr>
          <w:rFonts w:ascii="FreeSerif" w:hAnsi="FreeSerif" w:eastAsia="FreeSerif" w:cs="FreeSerif"/>
          <w:sz w:val="28"/>
          <w:szCs w:val="28"/>
        </w:rPr>
        <w:t xml:space="preserve">ьница </w:t>
      </w:r>
      <w:r>
        <w:rPr>
          <w:rFonts w:ascii="FreeSerif" w:hAnsi="FreeSerif" w:eastAsia="FreeSerif" w:cs="FreeSerif"/>
          <w:sz w:val="28"/>
          <w:szCs w:val="28"/>
        </w:rPr>
        <w:t xml:space="preserve">ст.Новоплатнировской</w:t>
      </w:r>
      <w:r>
        <w:rPr>
          <w:rFonts w:ascii="FreeSerif" w:hAnsi="FreeSerif" w:eastAsia="FreeSerif" w:cs="FreeSerif"/>
          <w:sz w:val="28"/>
          <w:szCs w:val="28"/>
        </w:rPr>
        <w:t xml:space="preserve"> на 30</w:t>
      </w:r>
      <w:r>
        <w:rPr>
          <w:rFonts w:ascii="FreeSerif" w:hAnsi="FreeSerif" w:eastAsia="FreeSerif" w:cs="FreeSerif"/>
          <w:sz w:val="28"/>
          <w:szCs w:val="28"/>
        </w:rPr>
        <w:t xml:space="preserve"> ко</w:t>
      </w:r>
      <w:r>
        <w:rPr>
          <w:rFonts w:ascii="FreeSerif" w:hAnsi="FreeSerif" w:eastAsia="FreeSerif" w:cs="FreeSerif"/>
          <w:sz w:val="28"/>
          <w:szCs w:val="28"/>
        </w:rPr>
        <w:t xml:space="preserve">ек</w:t>
      </w:r>
      <w:r>
        <w:rPr>
          <w:rFonts w:ascii="FreeSerif" w:hAnsi="FreeSerif" w:eastAsia="FreeSerif" w:cs="FreeSerif"/>
          <w:sz w:val="28"/>
          <w:szCs w:val="28"/>
        </w:rPr>
        <w:t xml:space="preserve"> с поликлиникой на 33 посещения в смену;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right="20" w:firstLine="709"/>
        <w:jc w:val="both"/>
        <w:spacing w:before="0" w:after="0" w:afterAutospacing="0" w:line="240" w:lineRule="auto"/>
        <w:shd w:val="clear" w:color="auto" w:fill="auto"/>
        <w:tabs>
          <w:tab w:val="left" w:pos="98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участко</w:t>
      </w:r>
      <w:r>
        <w:rPr>
          <w:rFonts w:ascii="FreeSerif" w:hAnsi="FreeSerif" w:eastAsia="FreeSerif" w:cs="FreeSerif"/>
          <w:sz w:val="28"/>
          <w:szCs w:val="28"/>
        </w:rPr>
        <w:t xml:space="preserve">вая больница </w:t>
      </w:r>
      <w:r>
        <w:rPr>
          <w:rFonts w:ascii="FreeSerif" w:hAnsi="FreeSerif" w:eastAsia="FreeSerif" w:cs="FreeSerif"/>
          <w:sz w:val="28"/>
          <w:szCs w:val="28"/>
        </w:rPr>
        <w:t xml:space="preserve">ст.Крыловская</w:t>
      </w:r>
      <w:r>
        <w:rPr>
          <w:rFonts w:ascii="FreeSerif" w:hAnsi="FreeSerif" w:eastAsia="FreeSerif" w:cs="FreeSerif"/>
          <w:sz w:val="28"/>
          <w:szCs w:val="28"/>
        </w:rPr>
        <w:t xml:space="preserve"> на 30</w:t>
      </w:r>
      <w:r>
        <w:rPr>
          <w:rFonts w:ascii="FreeSerif" w:hAnsi="FreeSerif" w:eastAsia="FreeSerif" w:cs="FreeSerif"/>
          <w:sz w:val="28"/>
          <w:szCs w:val="28"/>
        </w:rPr>
        <w:t xml:space="preserve"> ко</w:t>
      </w:r>
      <w:r>
        <w:rPr>
          <w:rFonts w:ascii="FreeSerif" w:hAnsi="FreeSerif" w:eastAsia="FreeSerif" w:cs="FreeSerif"/>
          <w:sz w:val="28"/>
          <w:szCs w:val="28"/>
        </w:rPr>
        <w:t xml:space="preserve">ек</w:t>
      </w:r>
      <w:r>
        <w:rPr>
          <w:rFonts w:ascii="FreeSerif" w:hAnsi="FreeSerif" w:eastAsia="FreeSerif" w:cs="FreeSerif"/>
          <w:sz w:val="28"/>
          <w:szCs w:val="28"/>
        </w:rPr>
        <w:t xml:space="preserve"> с поликлиникой на 60 посещений в смену;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firstLine="709"/>
        <w:jc w:val="both"/>
        <w:spacing w:before="0" w:after="0" w:afterAutospacing="0" w:line="240" w:lineRule="auto"/>
        <w:shd w:val="clear" w:color="auto" w:fill="auto"/>
        <w:tabs>
          <w:tab w:val="left" w:pos="91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9</w:t>
      </w:r>
      <w:r>
        <w:rPr>
          <w:rFonts w:ascii="FreeSerif" w:hAnsi="FreeSerif" w:eastAsia="FreeSerif" w:cs="FreeSerif"/>
          <w:sz w:val="28"/>
          <w:szCs w:val="28"/>
        </w:rPr>
        <w:t xml:space="preserve"> врачебных амбулаторий: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firstLine="709"/>
        <w:jc w:val="both"/>
        <w:spacing w:before="0" w:after="0" w:afterAutospacing="0" w:line="240" w:lineRule="auto"/>
        <w:shd w:val="clear" w:color="auto" w:fill="auto"/>
        <w:tabs>
          <w:tab w:val="left" w:pos="91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и. Октябрьский на 28 посещений,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firstLine="709"/>
        <w:jc w:val="both"/>
        <w:spacing w:before="0" w:after="0" w:afterAutospacing="0" w:line="240" w:lineRule="auto"/>
        <w:shd w:val="clear" w:color="auto" w:fill="auto"/>
        <w:tabs>
          <w:tab w:val="left" w:pos="91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п. Первомайский на 32 посещения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firstLine="709"/>
        <w:jc w:val="both"/>
        <w:spacing w:before="0" w:after="0" w:afterAutospacing="0" w:line="240" w:lineRule="auto"/>
        <w:shd w:val="clear" w:color="auto" w:fill="auto"/>
        <w:tabs>
          <w:tab w:val="left" w:pos="91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п. Образцовый на 25 посещений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firstLine="709"/>
        <w:jc w:val="both"/>
        <w:spacing w:before="0" w:after="0" w:afterAutospacing="0" w:line="240" w:lineRule="auto"/>
        <w:shd w:val="clear" w:color="auto" w:fill="auto"/>
        <w:tabs>
          <w:tab w:val="left" w:pos="91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п. Уманский на 18 посещений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firstLine="709"/>
        <w:jc w:val="both"/>
        <w:spacing w:before="0" w:after="0" w:afterAutospacing="0" w:line="240" w:lineRule="auto"/>
        <w:shd w:val="clear" w:color="auto" w:fill="auto"/>
        <w:tabs>
          <w:tab w:val="left" w:pos="91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п. </w:t>
      </w:r>
      <w:r>
        <w:rPr>
          <w:rFonts w:ascii="FreeSerif" w:hAnsi="FreeSerif" w:eastAsia="FreeSerif" w:cs="FreeSerif"/>
          <w:sz w:val="28"/>
          <w:szCs w:val="28"/>
        </w:rPr>
        <w:t xml:space="preserve">Бичевый</w:t>
      </w:r>
      <w:r>
        <w:rPr>
          <w:rFonts w:ascii="FreeSerif" w:hAnsi="FreeSerif" w:eastAsia="FreeSerif" w:cs="FreeSerif"/>
          <w:sz w:val="28"/>
          <w:szCs w:val="28"/>
        </w:rPr>
        <w:t xml:space="preserve"> на 26 посещений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firstLine="709"/>
        <w:jc w:val="both"/>
        <w:spacing w:before="0" w:after="0" w:afterAutospacing="0" w:line="240" w:lineRule="auto"/>
        <w:shd w:val="clear" w:color="auto" w:fill="auto"/>
        <w:tabs>
          <w:tab w:val="left" w:pos="90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х. </w:t>
      </w:r>
      <w:r>
        <w:rPr>
          <w:rFonts w:ascii="FreeSerif" w:hAnsi="FreeSerif" w:eastAsia="FreeSerif" w:cs="FreeSerif"/>
          <w:sz w:val="28"/>
          <w:szCs w:val="28"/>
        </w:rPr>
        <w:t xml:space="preserve">Куликовский</w:t>
      </w:r>
      <w:r>
        <w:rPr>
          <w:rFonts w:ascii="FreeSerif" w:hAnsi="FreeSerif" w:eastAsia="FreeSerif" w:cs="FreeSerif"/>
          <w:sz w:val="28"/>
          <w:szCs w:val="28"/>
        </w:rPr>
        <w:t xml:space="preserve"> на 21 посещение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firstLine="709"/>
        <w:jc w:val="both"/>
        <w:spacing w:before="0" w:after="0" w:afterAutospacing="0" w:line="240" w:lineRule="auto"/>
        <w:shd w:val="clear" w:color="auto" w:fill="auto"/>
        <w:tabs>
          <w:tab w:val="left" w:pos="905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х. Коржи на 21 посещение в смену,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firstLine="709"/>
        <w:jc w:val="both"/>
        <w:spacing w:before="0" w:after="0" w:afterAutospacing="0" w:line="240" w:lineRule="auto"/>
        <w:shd w:val="clear" w:color="auto" w:fill="auto"/>
        <w:tabs>
          <w:tab w:val="left" w:pos="90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х. Белый на 26 посещений в смену.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numPr>
          <w:ilvl w:val="0"/>
          <w:numId w:val="27"/>
        </w:numPr>
        <w:ind w:left="0" w:firstLine="709"/>
        <w:jc w:val="both"/>
        <w:spacing w:before="0" w:after="0" w:afterAutospacing="0" w:line="240" w:lineRule="auto"/>
        <w:shd w:val="clear" w:color="auto" w:fill="auto"/>
        <w:tabs>
          <w:tab w:val="left" w:pos="900" w:leader="none"/>
        </w:tabs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п. Бичевый  на 26 посещений в смену.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округе находится 1 отделение скорой медицинской помощи на                6 фельдшерских бригад. Стоматологическую помощь оказывает                            1 стоматологическая поликлиника. Детское население  амбулаторную помощь получает на базе детской поликлиники.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Служба медицинской профилактики Ленинградского муниципального округа включает отделение медицинской профилактики (далее - ОМП), которое состоит из: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кабинета организации диспансеризации и профилактических медицинских осмотров;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кабинета диагностики и коррекции основных факторов риска развития неинфекционных заболеваний;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left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кабинета популяционных методов профилактики,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left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 кабинета отказа от курения;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ОМП применяются с</w:t>
      </w:r>
      <w:r>
        <w:rPr>
          <w:rFonts w:ascii="FreeSerif" w:hAnsi="FreeSerif" w:eastAsia="FreeSerif" w:cs="FreeSerif"/>
          <w:sz w:val="28"/>
          <w:szCs w:val="28"/>
        </w:rPr>
        <w:t xml:space="preserve">овременные технологии по комплексному обследованию для выявления факторов риска развития заболеваний, по результатам которого, специалистами медицинской профилактики даются индивидуальные рекомендации по здоровому образу жизни и отказу от вредных привычек.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В 2024 году в отделение медицинской профилактики обратилось 29874 человек. Из числа первично обратившихся признаны здоровыми 31,5 %, с факторами риска - 68.5%.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За последние пять лет выполнение годового плана посещаемости отделения медицинской профилактики не изменялось — 100%, также увеличилась доля динамических посещений - с 12,3 % до 14,1 </w:t>
      </w:r>
      <w:r>
        <w:rPr>
          <w:rStyle w:val="972"/>
          <w:rFonts w:ascii="FreeSerif" w:hAnsi="FreeSerif" w:eastAsia="FreeSerif" w:cs="FreeSerif"/>
          <w:sz w:val="28"/>
          <w:szCs w:val="28"/>
        </w:rPr>
        <w:t xml:space="preserve">%.</w:t>
      </w:r>
      <w:r>
        <w:rPr>
          <w:rFonts w:ascii="FreeSerif" w:hAnsi="FreeSerif" w:eastAsia="FreeSerif" w:cs="FreeSerif"/>
          <w:sz w:val="28"/>
          <w:szCs w:val="28"/>
        </w:rPr>
        <w:t xml:space="preserve"> Доля лиц, у которых были выявлены факторы риска, в 2024 году уменьшилась по сравнению с 2020 годом с 68,5 % до 34,44 %.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С 2008 года проводится массовая профилактическая работа, включающая 8 крупных профилактических проектов, направленных на формирование у жителей округа </w:t>
      </w:r>
      <w:r>
        <w:rPr>
          <w:rFonts w:ascii="FreeSerif" w:hAnsi="FreeSerif" w:eastAsia="FreeSerif" w:cs="FreeSerif"/>
          <w:sz w:val="28"/>
          <w:szCs w:val="28"/>
        </w:rPr>
        <w:t xml:space="preserve">навыков здорового образа жизни. Проекты направлены на повышение мотивации населения к ведению здорового образа жизни, ответственности за собственное здоровье и максимально раннее (на доклинической стадии) выявление симптомов социально значимых заболеваний.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sz w:val="28"/>
          <w:szCs w:val="28"/>
        </w:rPr>
        <w:t xml:space="preserve">С 2020 года </w:t>
      </w:r>
      <w:r>
        <w:rPr>
          <w:rFonts w:ascii="FreeSerif" w:hAnsi="FreeSerif" w:eastAsia="FreeSerif" w:cs="FreeSerif"/>
          <w:sz w:val="28"/>
          <w:szCs w:val="28"/>
        </w:rPr>
        <w:t xml:space="preserve"> проведены 245 Дней здоровья, участниками которых стали 5401 жителей, которые получили активное информационное насыщение знаниями об ответственности за собственное здоровье, влиянии факторов риска, в том числе и распространенных вредных п</w:t>
      </w:r>
      <w:r>
        <w:rPr>
          <w:rFonts w:ascii="FreeSerif" w:hAnsi="FreeSerif" w:eastAsia="FreeSerif" w:cs="FreeSerif"/>
          <w:sz w:val="28"/>
          <w:szCs w:val="28"/>
        </w:rPr>
        <w:t xml:space="preserve">ривычек на здоровье человека. В общей сложности в ходе проведения Дней здоровья выполнено более 37,6 тысяч исследований и проведено более 8 тысяч осмотров специалистами, в рамках которых выявлено более 4,2 тысяч патологий и отклонений в состоянии здоровья.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eastAsia="FreeSerif" w:cs="FreeSerif"/>
          <w:sz w:val="22"/>
          <w:szCs w:val="22"/>
        </w:rPr>
      </w:r>
      <w:r>
        <w:rPr>
          <w:rFonts w:ascii="FreeSerif" w:hAnsi="FreeSerif" w:cs="FreeSerif"/>
          <w:sz w:val="22"/>
          <w:szCs w:val="22"/>
        </w:rPr>
      </w:r>
      <w:r>
        <w:rPr>
          <w:rFonts w:ascii="FreeSerif" w:hAnsi="FreeSerif" w:cs="FreeSerif"/>
          <w:sz w:val="22"/>
          <w:szCs w:val="22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70"/>
        <w:spacing w:line="250" w:lineRule="exact"/>
        <w:shd w:val="clear" w:color="auto" w:fill="auto"/>
        <w:rPr>
          <w:sz w:val="22"/>
          <w:szCs w:val="22"/>
        </w:rPr>
      </w:pPr>
      <w:r>
        <w:rPr>
          <w:sz w:val="22"/>
          <w:szCs w:val="22"/>
        </w:rPr>
      </w:r>
      <w:r>
        <w:rPr>
          <w:sz w:val="22"/>
          <w:szCs w:val="22"/>
        </w:rPr>
      </w:r>
      <w:r>
        <w:rPr>
          <w:sz w:val="22"/>
          <w:szCs w:val="22"/>
        </w:rPr>
      </w:r>
    </w:p>
    <w:p>
      <w:pPr>
        <w:pStyle w:val="970"/>
        <w:jc w:val="center"/>
        <w:spacing w:line="250" w:lineRule="exact"/>
        <w:shd w:val="clear" w:color="auto" w:fill="auto"/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eastAsia="FreeSerif" w:cs="FreeSerif"/>
          <w:sz w:val="28"/>
          <w:szCs w:val="28"/>
        </w:rPr>
        <w:t xml:space="preserve">Итоги проведения Дней здоровья за 20</w:t>
      </w:r>
      <w:r>
        <w:rPr>
          <w:rFonts w:ascii="FreeSerif" w:hAnsi="FreeSerif" w:eastAsia="FreeSerif" w:cs="FreeSerif"/>
          <w:sz w:val="28"/>
          <w:szCs w:val="28"/>
        </w:rPr>
        <w:t xml:space="preserve">20</w:t>
      </w:r>
      <w:r>
        <w:rPr>
          <w:rFonts w:ascii="FreeSerif" w:hAnsi="FreeSerif" w:eastAsia="FreeSerif" w:cs="FreeSerif"/>
          <w:sz w:val="28"/>
          <w:szCs w:val="28"/>
        </w:rPr>
        <w:t xml:space="preserve"> - 20</w:t>
      </w:r>
      <w:r>
        <w:rPr>
          <w:rFonts w:ascii="FreeSerif" w:hAnsi="FreeSerif" w:eastAsia="FreeSerif" w:cs="FreeSerif"/>
          <w:sz w:val="28"/>
          <w:szCs w:val="28"/>
        </w:rPr>
        <w:t xml:space="preserve">24</w:t>
      </w:r>
      <w:r>
        <w:rPr>
          <w:rFonts w:ascii="FreeSerif" w:hAnsi="FreeSerif" w:eastAsia="FreeSerif" w:cs="FreeSerif"/>
          <w:sz w:val="28"/>
          <w:szCs w:val="28"/>
        </w:rPr>
        <w:t xml:space="preserve"> годы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pStyle w:val="970"/>
        <w:jc w:val="center"/>
        <w:spacing w:line="250" w:lineRule="exact"/>
        <w:shd w:val="clear" w:color="auto" w:fill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pStyle w:val="970"/>
        <w:jc w:val="right"/>
        <w:spacing w:line="250" w:lineRule="exact"/>
        <w:shd w:val="clear" w:color="auto" w:fill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cs="FreeSerif"/>
          <w:sz w:val="28"/>
          <w:szCs w:val="28"/>
        </w:rPr>
        <w:t xml:space="preserve">Таблица 8</w:t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p>
      <w:pPr>
        <w:pStyle w:val="970"/>
        <w:spacing w:line="250" w:lineRule="exact"/>
        <w:shd w:val="clear" w:color="auto" w:fill="auto"/>
        <w:rPr>
          <w:rFonts w:ascii="FreeSerif" w:hAnsi="FreeSerif" w:cs="FreeSerif"/>
          <w:sz w:val="28"/>
          <w:szCs w:val="28"/>
        </w:rPr>
      </w:pPr>
      <w:r>
        <w:rPr>
          <w:rFonts w:ascii="FreeSerif" w:hAnsi="FreeSerif" w:eastAsia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cs="FreeSerif"/>
          <w:sz w:val="28"/>
          <w:szCs w:val="28"/>
        </w:rPr>
      </w:r>
    </w:p>
    <w:tbl>
      <w:tblPr>
        <w:tblW w:w="0" w:type="auto"/>
        <w:jc w:val="center"/>
        <w:tblInd w:w="132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913"/>
        <w:gridCol w:w="1130"/>
        <w:gridCol w:w="1280"/>
        <w:gridCol w:w="1135"/>
        <w:gridCol w:w="1125"/>
        <w:gridCol w:w="1075"/>
      </w:tblGrid>
      <w:tr>
        <w:tblPrEx/>
        <w:trPr>
          <w:jc w:val="center"/>
          <w:trHeight w:val="275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13" w:type="dxa"/>
            <w:textDirection w:val="lrTb"/>
            <w:noWrap/>
          </w:tcPr>
          <w:p>
            <w:pPr>
              <w:pStyle w:val="969"/>
              <w:ind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Наименован</w:t>
            </w: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ие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69"/>
              <w:ind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20</w:t>
            </w: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20</w:t>
            </w: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год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69"/>
              <w:ind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20</w:t>
            </w: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21</w:t>
            </w: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 год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69"/>
              <w:ind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20</w:t>
            </w: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22</w:t>
            </w: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 год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69"/>
              <w:ind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20</w:t>
            </w: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23</w:t>
            </w: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 год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69"/>
              <w:ind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20</w:t>
            </w: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24</w:t>
            </w: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 год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>
          <w:jc w:val="center"/>
          <w:trHeight w:val="270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13" w:type="dxa"/>
            <w:textDirection w:val="lrTb"/>
            <w:noWrap/>
          </w:tcPr>
          <w:p>
            <w:pPr>
              <w:pStyle w:val="969"/>
              <w:ind w:lef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Количество дней здоровья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49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49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51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48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49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>
          <w:jc w:val="center"/>
          <w:trHeight w:val="29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13" w:type="dxa"/>
            <w:textDirection w:val="lrTb"/>
            <w:noWrap/>
          </w:tcPr>
          <w:p>
            <w:pPr>
              <w:pStyle w:val="969"/>
              <w:ind w:lef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Приняло участие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118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489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1851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1308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1635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>
          <w:jc w:val="center"/>
          <w:trHeight w:val="27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13" w:type="dxa"/>
            <w:textDirection w:val="lrTb"/>
            <w:noWrap/>
          </w:tcPr>
          <w:p>
            <w:pPr>
              <w:pStyle w:val="969"/>
              <w:ind w:lef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Проведено исследований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312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1205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7154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7125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7424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>
          <w:jc w:val="center"/>
          <w:trHeight w:val="35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3913" w:type="dxa"/>
            <w:textDirection w:val="lrTb"/>
            <w:noWrap/>
          </w:tcPr>
          <w:p>
            <w:pPr>
              <w:pStyle w:val="969"/>
              <w:ind w:lef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Осмотрено врачами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118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489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1851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1308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1635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  <w:tr>
        <w:tblPrEx/>
        <w:trPr>
          <w:jc w:val="center"/>
          <w:trHeight w:val="585" w:hRule="exact"/>
        </w:trPr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3913" w:type="dxa"/>
            <w:textDirection w:val="lrTb"/>
            <w:noWrap/>
          </w:tcPr>
          <w:p>
            <w:pPr>
              <w:pStyle w:val="969"/>
              <w:ind w:left="0" w:firstLine="0"/>
              <w:jc w:val="left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Выявлено отклонений в состоянии здоровья, в том числе: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130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78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280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548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13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1944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tcW w:w="112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1192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  <w:tc>
          <w:tcPr>
            <w:shd w:val="clear" w:color="ffffff" w:fill="ffffff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W w:w="1075" w:type="dxa"/>
            <w:textDirection w:val="lrTb"/>
            <w:noWrap/>
          </w:tcPr>
          <w:p>
            <w:pPr>
              <w:pStyle w:val="969"/>
              <w:ind w:left="0" w:firstLine="0"/>
              <w:spacing w:before="0" w:after="0" w:line="240" w:lineRule="auto"/>
              <w:shd w:val="clear" w:color="auto" w:fill="auto"/>
              <w:rPr>
                <w:rFonts w:ascii="FreeSerif" w:hAnsi="FreeSerif" w:cs="FreeSerif"/>
                <w:sz w:val="28"/>
                <w:szCs w:val="28"/>
              </w:rPr>
              <w:suppressLineNumbers w:val="0"/>
            </w:pPr>
            <w:r>
              <w:rPr>
                <w:rStyle w:val="971"/>
                <w:rFonts w:ascii="FreeSerif" w:hAnsi="FreeSerif" w:eastAsia="FreeSerif" w:cs="FreeSerif"/>
                <w:sz w:val="28"/>
                <w:szCs w:val="28"/>
              </w:rPr>
              <w:t xml:space="preserve">2822</w:t>
            </w:r>
            <w:r>
              <w:rPr>
                <w:rFonts w:ascii="FreeSerif" w:hAnsi="FreeSerif" w:cs="FreeSerif"/>
                <w:sz w:val="28"/>
                <w:szCs w:val="28"/>
              </w:rPr>
            </w:r>
            <w:r>
              <w:rPr>
                <w:rFonts w:ascii="FreeSerif" w:hAnsi="FreeSerif" w:cs="FreeSerif"/>
                <w:sz w:val="28"/>
                <w:szCs w:val="28"/>
              </w:rPr>
            </w:r>
          </w:p>
        </w:tc>
      </w:tr>
    </w:tbl>
    <w:p>
      <w:pPr>
        <w:pStyle w:val="969"/>
        <w:ind w:right="0" w:firstLine="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2024 году  продолжалась реализация профилактического проекта «Здоровая Кубань: медицинские учреждения, свободные от табачного дыма», направленного на профилактику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табакокурения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среди жителей и защиту людей от табачного дыма в медицинских организациях, подведомственных министерству здравоохранения Краснодарского края. На сегодняшний день в поликлинике н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 функциональной основе работает кабинет отказа от курения совместно с наркологическим кабинетом, в которых врачи предоставляют курящим пациентам консультации по мотивации к отказу от табака, а тем, кто желает отказаться, - лечение никотиновой зависимости.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pStyle w:val="969"/>
        <w:ind w:left="0"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2024 году ка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бинет отказа от курения посетили 857 человека, из них сократили количество выкуриваемых сигарет 558 пациентов, полностью прекратили курение табака - 149 пациентов. В 2024 году доля полностью прекративших курение от общего числа обратившихся составила 17,4 </w:t>
      </w:r>
      <w:r>
        <w:rPr>
          <w:rStyle w:val="972"/>
          <w:rFonts w:ascii="FreeSerif" w:hAnsi="FreeSerif" w:eastAsia="FreeSerif" w:cs="FreeSerif"/>
          <w:color w:val="000000" w:themeColor="text1"/>
          <w:sz w:val="28"/>
          <w:szCs w:val="28"/>
        </w:rPr>
        <w:t xml:space="preserve">%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(2020 год - 16 </w:t>
      </w:r>
      <w:r>
        <w:rPr>
          <w:rStyle w:val="972"/>
          <w:rFonts w:ascii="FreeSerif" w:hAnsi="FreeSerif" w:eastAsia="FreeSerif" w:cs="FreeSerif"/>
          <w:color w:val="000000" w:themeColor="text1"/>
          <w:sz w:val="28"/>
          <w:szCs w:val="28"/>
        </w:rPr>
        <w:t xml:space="preserve">%).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Помимо этого, в районных средствах массовой информации регулярно публикуются материалы, мотивирующие к отказу от курения.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eastAsia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 2013 года  реализуется профилактический проект «Кубань - край здоровых улыбок». За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2024 год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осмотрено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21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103 детей и взрослых; выявлены свыше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3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500 жителей, нуждающихся в стоматологической помощи.</w:t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Приоритетным направ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лением, определяющим успех профилактической работы, является санитарно-просветительская работа среди населения, которая включает популяризацию культуры здорового питания, физической активности, профилактику алкоголизма и противодействие потреблению табака.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/>
    </w:p>
    <w:p>
      <w:pPr>
        <w:pStyle w:val="959"/>
        <w:ind w:left="0" w:right="0" w:firstLine="709"/>
        <w:jc w:val="both"/>
        <w:spacing w:before="0" w:beforeAutospacing="0" w:after="0" w:afterAutospacing="0" w:line="240" w:lineRule="auto"/>
        <w:tabs>
          <w:tab w:val="left" w:pos="0" w:leader="none"/>
          <w:tab w:val="left" w:pos="1556" w:leader="none"/>
        </w:tabs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лечебно профилактических учреждениях округа (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ФАПы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, врачебные амбулатории, участковые больницы) регулярно проводится обучение пациентов в «школах здоровья», посвященных актуальным темам профилактики неинфекционных заболеваний и ведения здорового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образа жизни (артериальная гипертония, сахарный диабет, рациональное питание, ожирение, физическая активность, инфаркт миокарда, инсульт, зависимости и другие). Методические материалы, программы, презентации и полный комплект лекций к каждому занятию «шко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 здоровья», рекомендации по проведению обучения и контролю усвоенного материала среди пациентов школ размещаются на сайте ГБУЗ «Ленинградская ЦРБ» М3 КК. В 2024году по 23 темам «школ здоровья» в учреждении обучено около 4 тысяч пациентов и жителей округа.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0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0"/>
        <w:spacing w:before="0" w:beforeAutospacing="0" w:after="0" w:line="240" w:lineRule="auto"/>
        <w:shd w:val="clear" w:color="auto" w:fill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Профилактические медицинские осмотры, в том числе диспансеризация отдельных категорий граждан взрослого населения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pStyle w:val="969"/>
        <w:ind w:right="0" w:firstLine="700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рамках диспансеризации определенных групп взрослого населения (далее - диспансеризация) в 2024 году осмотрено 23018 человек; годовой план выполнен на 100,0 %.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диспансеризации принимали участие все структурные подразделения Ленинградской районной больницы.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возрастной структуре прошедших диспансеризацию лица в возрасте 21- 36 лет составили 6,74 %, 39 - 60 лет — 45,68 %, старше 60 лет — 47,58</w:t>
      </w:r>
      <w:r>
        <w:rPr>
          <w:rStyle w:val="972"/>
          <w:rFonts w:ascii="FreeSerif" w:hAnsi="FreeSerif" w:eastAsia="FreeSerif" w:cs="FreeSerif"/>
          <w:color w:val="000000" w:themeColor="text1"/>
          <w:sz w:val="28"/>
          <w:szCs w:val="28"/>
        </w:rPr>
        <w:t xml:space="preserve">%.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В структуре по полу удельный вес мужчин составил 40,55</w:t>
      </w:r>
      <w:r>
        <w:rPr>
          <w:rStyle w:val="972"/>
          <w:rFonts w:ascii="FreeSerif" w:hAnsi="FreeSerif" w:eastAsia="FreeSerif" w:cs="FreeSerif"/>
          <w:color w:val="000000" w:themeColor="text1"/>
          <w:sz w:val="28"/>
          <w:szCs w:val="28"/>
        </w:rPr>
        <w:t xml:space="preserve">%,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женщин -  59,45%.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Из числа прошедших диспансеризацию удельный вес работающих граждан составил 69,93 %, неработающих — 30,07 %, обучающихся в образовательных организациях по очной форме — 0 %.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 второй этап диспансеризации направлено 69,34 % прошедших первый этап диспансеризации. Завершили второй этап диспансеризации 80 % от числа направленных граждан.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При проведении диспансеризации выявлено 10287 фактора риска развития хронических неинфекционных заболеваний и 1963 заболеваний. На каждого человека, прошедшего 1-й этап диспансеризации, в среднем приходилось 2 фактора риска. У каждого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3-го выявлялся повышенный уровень артериального давления; с аналогичной частотой регистрировались нерациональное питание, низкая физическая активность, курение табака; у каждого пятого - избыточная масса тела, высокий и очень высокий абсолютный суммарный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сердечно-сосудистый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риск (из числа не имеющих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сердечно-сосудистых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заболеваний); у каждого десятого - отягощенная наследственность по злокачественным новообразованиям, болезням системы кровообращения, хроническим болезням нижних дыхательных путей.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Наиболее высокий уровень первичной заболеваемости по результатам диспансеризации отмечается при болезнях системах кровообращения - 1097 человек и болезнях эндокринной системы, расстройствах питания и нарушениях обмена веществ - 549 человек.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При проведении диспансеризации впервые было выявлено 19 злокачественных заболеваний, из которых 6 новообразований молочной железы, 1 шейки матки, 5предстательной железы, 2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новообразования органов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дыхания, 5 злокачественных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новообразований желудочно-кишечного тракта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 результатам диспансеризации определены 4 группы здоровья. I группа здоровья составила — 13,43%, II группа — 34,44%, III а — 48,42%, III б — 3,70%.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right="0" w:firstLine="709"/>
        <w:jc w:val="both"/>
        <w:spacing w:before="0" w:beforeAutospacing="0" w:after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2024 году  было запланировано проведение профилактических осмотров 8872 несовершеннолетних, осмотрено 100% детей и подростков. Зарегистрировано впервые выявленных 132 з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аболевания, из них у мальчиков 81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firstLine="0"/>
        <w:jc w:val="both"/>
        <w:spacing w:after="0" w:line="240" w:lineRule="auto"/>
        <w:rPr>
          <w:rFonts w:ascii="Times New Roman" w:hAnsi="Times New Roman" w:cs="Times New Roman"/>
          <w:color w:val="000000" w:themeColor="text1"/>
          <w:highlight w:val="yellow"/>
        </w:rPr>
      </w:pPr>
      <w:r>
        <w:rPr>
          <w:rFonts w:ascii="Times New Roman" w:hAnsi="Times New Roman" w:cs="Times New Roman"/>
          <w:color w:val="000000" w:themeColor="text1"/>
          <w:highlight w:val="yellow"/>
        </w:rPr>
      </w:r>
      <w:r>
        <w:rPr>
          <w:rFonts w:ascii="Times New Roman" w:hAnsi="Times New Roman" w:cs="Times New Roman"/>
          <w:color w:val="000000" w:themeColor="text1"/>
          <w:highlight w:val="yellow"/>
        </w:rPr>
      </w:r>
      <w:r>
        <w:rPr>
          <w:rFonts w:ascii="Times New Roman" w:hAnsi="Times New Roman" w:cs="Times New Roman"/>
          <w:color w:val="000000" w:themeColor="text1"/>
          <w:highlight w:val="yellow"/>
        </w:rPr>
      </w:r>
    </w:p>
    <w:p>
      <w:pPr>
        <w:ind w:firstLine="851"/>
        <w:jc w:val="right"/>
        <w:spacing w:after="0" w:line="240" w:lineRule="auto"/>
        <w:rPr>
          <w:rFonts w:ascii="FreeSerif" w:hAnsi="FreeSerif" w:cs="FreeSerif"/>
          <w:sz w:val="28"/>
          <w:szCs w:val="28"/>
          <w:highlight w:val="red"/>
        </w:rPr>
      </w:pPr>
      <w:r>
        <w:rPr>
          <w:rFonts w:ascii="FreeSerif" w:hAnsi="FreeSerif" w:eastAsia="FreeSerif" w:cs="FreeSerif"/>
          <w:sz w:val="28"/>
          <w:szCs w:val="28"/>
          <w:highlight w:val="red"/>
        </w:rPr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 Таблица № </w:t>
      </w:r>
      <w:r>
        <w:rPr>
          <w:rFonts w:ascii="FreeSerif" w:hAnsi="FreeSerif" w:eastAsia="FreeSerif" w:cs="FreeSerif"/>
          <w:sz w:val="28"/>
          <w:szCs w:val="28"/>
          <w:highlight w:val="white"/>
        </w:rPr>
        <w:t xml:space="preserve">9</w:t>
      </w:r>
      <w:r>
        <w:rPr>
          <w:rFonts w:ascii="FreeSerif" w:hAnsi="FreeSerif" w:cs="FreeSerif"/>
          <w:sz w:val="28"/>
          <w:szCs w:val="28"/>
          <w:highlight w:val="red"/>
        </w:rPr>
      </w:r>
      <w:r>
        <w:rPr>
          <w:rFonts w:ascii="FreeSerif" w:hAnsi="FreeSerif" w:cs="FreeSerif"/>
          <w:sz w:val="28"/>
          <w:szCs w:val="28"/>
          <w:highlight w:val="red"/>
        </w:rPr>
      </w:r>
    </w:p>
    <w:p>
      <w:pPr>
        <w:ind w:firstLine="851"/>
        <w:jc w:val="both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tbl>
      <w:tblPr>
        <w:tblStyle w:val="967"/>
        <w:tblW w:w="0" w:type="auto"/>
        <w:tblLayout w:type="fixed"/>
        <w:tblLook w:val="04A0" w:firstRow="1" w:lastRow="0" w:firstColumn="1" w:lastColumn="0" w:noHBand="0" w:noVBand="1"/>
      </w:tblPr>
      <w:tblGrid>
        <w:gridCol w:w="851"/>
        <w:gridCol w:w="2126"/>
        <w:gridCol w:w="2409"/>
        <w:gridCol w:w="1984"/>
        <w:gridCol w:w="2126"/>
      </w:tblGrid>
      <w:tr>
        <w:tblPrEx/>
        <w:trPr/>
        <w:tc>
          <w:tcPr>
            <w:tcW w:w="851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4"/>
                <w:szCs w:val="24"/>
                <w:u w:val="none"/>
              </w:rPr>
              <w:t xml:space="preserve">Ленинградский муниципальный округ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4"/>
                <w:szCs w:val="24"/>
                <w:u w:val="none"/>
              </w:rPr>
              <w:t xml:space="preserve">Средний по РФ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4"/>
                <w:szCs w:val="24"/>
                <w:u w:val="none"/>
              </w:rPr>
              <w:t xml:space="preserve">Средний по КК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5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КУРЕНИЕ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Диспансеризацию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Фактор риска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3073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13,3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1884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31,1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3901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5486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851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9,58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632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9.5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4677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22,7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3718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23,7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5325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1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17,8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tbl>
      <w:tblPr>
        <w:tblStyle w:val="96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ПОТРЕБЛЕНИЕ АЛКОГОЛЯ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tbl>
      <w:tblPr>
        <w:tblStyle w:val="96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НЕЗДОРОВОЕ ПИТАНИЕ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3784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31,9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33,5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3952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32,4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7091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69,3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5491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27,6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36,8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1113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35,1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3964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3802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4335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26,9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1648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23,6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  <w:highlight w:val="none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25,3</w:t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  <w:r>
              <w:rPr>
                <w:rFonts w:ascii="FreeSerif" w:hAnsi="FreeSerif" w:cs="FreeSerif"/>
                <w:sz w:val="24"/>
                <w:szCs w:val="24"/>
                <w:highlight w:val="none"/>
              </w:rPr>
            </w:r>
          </w:p>
        </w:tc>
      </w:tr>
    </w:tbl>
    <w:tbl>
      <w:tblPr>
        <w:tblStyle w:val="96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НИЗКАЯ ФИЗАКТИВНОСТЬ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3072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2834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23,3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33,5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3997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5601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39,8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38,5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1132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500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3527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17,1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5382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5931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tbl>
      <w:tblPr>
        <w:tblStyle w:val="96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>
          <w:trHeight w:val="264"/>
        </w:trPr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ИЗБЫТОЧНАЯ МАССА ТЕЛА И ОЖИРЕНИЕ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2877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3535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17,2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5955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58,2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2949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22,5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3520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710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19,6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4804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32,1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25,4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6909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33,6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31,5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7191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33,3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13006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43,5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37,2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tbl>
      <w:tblPr>
        <w:tblStyle w:val="96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ГИПЕРГЛИКЕМИЯ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368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314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2134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4,9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1873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7,8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1549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5,7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tbl>
      <w:tblPr>
        <w:tblStyle w:val="967"/>
        <w:tblW w:w="0" w:type="auto"/>
        <w:tblLayout w:type="fixed"/>
        <w:tblLook w:val="04A0" w:firstRow="1" w:lastRow="0" w:firstColumn="1" w:lastColumn="0" w:noHBand="0" w:noVBand="1"/>
      </w:tblPr>
      <w:tblGrid>
        <w:gridCol w:w="850"/>
        <w:gridCol w:w="2126"/>
        <w:gridCol w:w="2409"/>
        <w:gridCol w:w="1984"/>
        <w:gridCol w:w="2126"/>
      </w:tblGrid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gridSpan w:val="4"/>
            <w:tcW w:w="8646" w:type="dxa"/>
            <w:vMerge w:val="restart"/>
            <w:textDirection w:val="lrTb"/>
            <w:noWrap w:val="false"/>
          </w:tcPr>
          <w:p>
            <w:pPr>
              <w:jc w:val="center"/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ГИПЕРХОЛЕСТЕРИНЕМИЯ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11847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12183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10226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10004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14080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2827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14983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219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-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13,2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2022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20588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9607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46,7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16,6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24046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3480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15,5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8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23,3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2024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Всего прошло Д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29867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Имеют ФР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6990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  <w:tr>
        <w:tblPrEx/>
        <w:trPr/>
        <w:tc>
          <w:tcPr>
            <w:tcW w:w="850" w:type="dxa"/>
            <w:vMerge w:val="continue"/>
            <w:textDirection w:val="lrTb"/>
            <w:noWrap w:val="false"/>
          </w:tcPr>
          <w:p>
            <w:r/>
            <w:r/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%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409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23,4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1984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10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  <w:tc>
          <w:tcPr>
            <w:tcW w:w="2126" w:type="dxa"/>
            <w:vMerge w:val="restart"/>
            <w:textDirection w:val="lrTb"/>
            <w:noWrap w:val="false"/>
          </w:tcPr>
          <w:p>
            <w:pPr>
              <w:spacing w:after="0" w:afterAutospacing="0" w:line="240" w:lineRule="auto"/>
              <w:rPr>
                <w:rFonts w:ascii="FreeSerif" w:hAnsi="FreeSerif" w:cs="FreeSerif"/>
                <w:sz w:val="24"/>
                <w:szCs w:val="24"/>
              </w:rPr>
            </w:pPr>
            <w:r>
              <w:rPr>
                <w:rFonts w:ascii="FreeSerif" w:hAnsi="FreeSerif" w:eastAsia="FreeSerif" w:cs="FreeSerif"/>
                <w:sz w:val="24"/>
                <w:szCs w:val="24"/>
              </w:rPr>
              <w:t xml:space="preserve">16,1</w:t>
            </w:r>
            <w:r>
              <w:rPr>
                <w:rFonts w:ascii="FreeSerif" w:hAnsi="FreeSerif" w:cs="FreeSerif"/>
                <w:sz w:val="24"/>
                <w:szCs w:val="24"/>
              </w:rPr>
            </w:r>
            <w:r>
              <w:rPr>
                <w:rFonts w:ascii="FreeSerif" w:hAnsi="FreeSerif" w:cs="FreeSerif"/>
                <w:sz w:val="24"/>
                <w:szCs w:val="24"/>
              </w:rPr>
            </w:r>
          </w:p>
        </w:tc>
      </w:tr>
    </w:tbl>
    <w:p>
      <w:pPr>
        <w:ind w:firstLine="851"/>
        <w:jc w:val="both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таблице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  9 представлены данные о выявлении фактора риска  в рамках диспансеризации населения Ленинградского муниципального округа за период с 2015 по 2024 годы, а также для сравнения приведены средние показатели по Краснодарскому краю (КК) и Российской Федерации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(РФ).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данных «Курение»: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Ленинградском  муниципальном округе доля лиц, имеющих фактор риска «Курение», выявленных в ходе диспансеризации, демонстрирует выраженную волатильность. Значения колеблются от минимальных 4,2% в 2021 году до максимальных 39% в 2018 и 2019 годах.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На протяжении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 большей части рассматриваемого периода (2015-2020 гг.) доля курящих, выявленных при диспансеризации, в Ленинградском муниципальном округе превышала средние показатели по РФ. Однако, начиная с 2021 года, ситуация кардинально меняется - показатели Ленинград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ского муниципального округа становятся значительно ниже общероссийских.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До 2021 года доля курящих в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Ленинградском муниципальном округе была ниже или сопоставима со средним показателем по Краснодарскому краю. Начиная с 2021 года, разрыв между показателями значительно увеличивается, и доля курящих в Ленинградском  муниципальном округе становится значительн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 ниже, чем в среднем по региону.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2021 год характеризуется аномально низким значением доли курящих (4,2%) в Ленинградском муниципальном округе, что значительно отличается от предыдущих и последующих лет, а также от средних показателей по РФ и КК.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данных «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Потребление алкоголя»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Доля лиц, имеющих фактор риска «Потребление алкоголя», выявленных в ходе диспансеризации в Ленинградском муниципальном округе, на протяжении всего рассматриваемого периода остается крайне низкой, не превышая 2,6% (2018 год).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данных «Нездоровое питание»: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На протяжении всего анализируемого периода доля лиц с фактором риска «Нездоровое питание» остается достаточно высокой. Даже в самые «благополучные» годы (2022-2024) этот показатель составляет не менее 5,5%.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период с 2015 по 2020 годы доля лиц с нездоровым питанием в Ленинградском муниципальном округе, как правило, превышала средние показатели по РФ и КК.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Начиная с 2021 года, наблюдается тенденция к снижению доли лиц с нездоровым питанием в Ленинградском муниципальном  округе. В 2024 году этот показатель достигает минимального значения (5,5%) и становится значительно ниже, чем в среднем по РФ и КК.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2017 год выделяется аномально высоким значением доли лиц с нездоровым питанием (69,3%), что значительно превышает показатели как в предыдущие, так и в последующие годы, а также средние значения по РФ и КК.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данных «Низкая физическая активность»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Доля лиц с низкой физической активностью, выявленных в ходе диспансеризации,  демонстрирует значительную изменчивость по годам.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 2021 года доля лиц с низкой физической активностью в Ленинградском муниципальном округе часто превышала или была сопоставима со средними показателями по РФ и КК. Особенно выделяются 2018, 2019 и 2020 годы, когда этот показатель достигал 40%.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В 2021 году наблюдается резкое снижение доли лиц с низкой физической активностью до 3,3%, что является аномально низким значением и значительно отличается от предыдущих и последующих лет, а также от средних показателей по РФ и КК.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После 2021 года доля лиц с низкой физической активностью в Ленинградском муниципальном округе вновь начинает расти, однако остается значительно ниже значений, наблюдавшихся до 2021 года.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И РФ, и КК также демонстрируют тенденцию к снижению этого показателя, но значения остаются значительно выше, чем в Ленинградском муниципальном округе после 2021 года.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Несмотря на снижение доли лиц с низкой физической активностью  в последние годы, проблема остается актуальной и требует дальнейшего изучения и принятия целенаправленных мер. Необходимо обеспечить достоверность данных, разработать эффе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ктивные мероприятия по повышению физической активности населения и вовлечь в их реализацию различные секторы общества.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данных «Избыточная масса тела и ожирение»: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Доля лиц с из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быточной массой тела и ожирением, выявленных в ходе диспансеризации в Ленинградском муниципальном округе, на протяжении всего анализируемого периода остается высокой. Даже в годы с относительно низкими показателями (2015, 2019, 2020) этот показатель превыш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ает 24%.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Доля лиц  в Ленинградском муниципальном округе значительно превышает средние показатели по Краснодарскому краю и Российской Федерации. Данная тенденция сохраняется на протяжении всего периода.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Высокая и растущая распространенность избыточной массы тела и ожирения в округе является серьезной проблемой, требующей принятия незамедлительных мер.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распространенности фактора риска «Гипергликемия».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Доля лиц с гипергликемией, выявленных в ходе диспансеризации в Ленинградском  муниципальном округе, демонстрирует значительные колебания по годам.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До 2022 года доля лиц с гипергликемией в Ленинградском муниципальном округе, как правило, была ниже, чем средние показатели по Российской Федерации, но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выше, чем средние показатели по Краснодарскому краю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2023 и 2024 годах доля лиц с гипергликемией снижается, но остается выше показателей, наблюдавшихся до 2022 года, и все еще выше или сопоставима со средними показателями по РФ и КК.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Аномально низкий показатель в 2018 году, когда не было выявлено ни одного случая гипергликемии.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распространенности фактора риска «Гиперхолестеринемия»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  <w:suppressLineNumbers w:val="0"/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Информация о выявлении гиперхолестеринемии в Ленинградском  муниципальном округе отсутствует за период с 2015 по 2020 годы, что затрудняет оценку динамики.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В период с 2015 по 2020 годы определение уровня холестерина могло не входить в обязательный перечень обследований в рамках диспансеризации..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2022 году наблюдается резкий рост доли лиц с гиперхолестеринемией (46,7%), что значительно превышает показатели по КК (15,4%) и РФ (16,6%).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В 2023 и 2024 годах доля лиц с гиперхолестеринемией снижается, но остается выше, чем в 2021 году и в значительной степени выше средних показателей по КК и РФ.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/>
    </w:p>
    <w:p>
      <w:pPr>
        <w:pStyle w:val="776"/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776"/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Сравнительный анализ доли лиц, ведущих здоровый образ жизни (ЗОЖ), в Ленинградском муниципальном округе  и Краснодарском крае (2021-2024 гг.)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r/>
      <w:r/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color w:val="000000" w:themeColor="text1"/>
          <w:sz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та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блице  10 пред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ставлены данные о доле лиц, ведущих ЗОЖ, выявленных в рамках диспансеризации и профилактических медицинских осмотров (Д и ПМО) в Ленинградском муниципальном округе за период с 2021 по 2024 годы. Для сравнения приведены плановые показатели по Краснодарскому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краю на период с 2023 по 2030 годы. Использован поправочный коэффициент 0,935.</w:t>
      </w:r>
      <w:r>
        <w:rPr>
          <w:rFonts w:ascii="FreeSerif" w:hAnsi="FreeSerif" w:cs="FreeSerif"/>
          <w:color w:val="000000" w:themeColor="text1"/>
          <w:sz w:val="24"/>
        </w:rPr>
      </w:r>
      <w:r>
        <w:rPr>
          <w:rFonts w:ascii="FreeSerif" w:hAnsi="FreeSerif" w:cs="FreeSerif"/>
          <w:color w:val="000000" w:themeColor="text1"/>
          <w:sz w:val="24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rPr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2023 году наблюдается значительный рост доли лиц, ведущих ЗОЖ, до 41,0%, что может быть связано с активной реализацией программ по пропаганде здорового образа жизни.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2022 и 2024 годах доля лиц, ведущих ЗОЖ, снижается до 22,2% и 23,1% соответственно.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2023 году доля лиц, ведущих ЗОЖ в Ленинградском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муниципальном округе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(41,0%), значительно превышает плановые показатели по Краснодарскому краю на 2023 год (12,1%).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 В 2024 году доля лиц, ведущих ЗОЖ в Ленинградском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муниципальном округе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(23,1%), также превышает плановые показатели по Краснодарскому краю, но, в то же время, свидетельствует об отставании от показателей КК на 2025 год (14%), если принять плановые значения за минимальн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ые.</w:t>
      </w: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rPr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p>
      <w:pPr>
        <w:ind w:left="0" w:right="0" w:firstLine="709"/>
        <w:jc w:val="right"/>
        <w:spacing w:before="0" w:beforeAutospacing="0" w:after="0" w:afterAutospacing="0" w:line="240" w:lineRule="auto"/>
        <w:rPr>
          <w:rFonts w:ascii="FreeSerif" w:hAnsi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Таблица 10</w:t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rPr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highlight w:val="none"/>
        </w:rPr>
      </w:r>
      <w:r>
        <w:rPr>
          <w:highlight w:val="none"/>
        </w:rPr>
      </w:r>
      <w:r>
        <w:rPr>
          <w:highlight w:val="none"/>
        </w:rPr>
      </w:r>
    </w:p>
    <w:tbl>
      <w:tblPr>
        <w:tblStyle w:val="967"/>
        <w:tblW w:w="0" w:type="auto"/>
        <w:tblLayout w:type="fixed"/>
        <w:tblLook w:val="04A0" w:firstRow="1" w:lastRow="0" w:firstColumn="1" w:lastColumn="0" w:noHBand="0" w:noVBand="1"/>
      </w:tblPr>
      <w:tblGrid>
        <w:gridCol w:w="992"/>
        <w:gridCol w:w="786"/>
        <w:gridCol w:w="709"/>
        <w:gridCol w:w="498"/>
        <w:gridCol w:w="777"/>
        <w:gridCol w:w="924"/>
        <w:gridCol w:w="567"/>
        <w:gridCol w:w="886"/>
        <w:gridCol w:w="817"/>
        <w:gridCol w:w="641"/>
        <w:gridCol w:w="811"/>
        <w:gridCol w:w="709"/>
        <w:gridCol w:w="567"/>
      </w:tblGrid>
      <w:tr>
        <w:tblPrEx/>
        <w:trPr/>
        <w:tc>
          <w:tcPr>
            <w:tcW w:w="992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Ленинградский округ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gridSpan w:val="3"/>
            <w:tcW w:w="1993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2021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gridSpan w:val="3"/>
            <w:tcW w:w="2268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2022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gridSpan w:val="3"/>
            <w:tcW w:w="234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2023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gridSpan w:val="3"/>
            <w:tcW w:w="208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2024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  <w:tr>
        <w:tblPrEx/>
        <w:trPr/>
        <w:tc>
          <w:tcPr>
            <w:tcW w:w="992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Доля лиц, ведущих ЗОЖ, %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86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Всего прошло Д и ПМО 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Не имеют ФР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498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%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777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Всего прошло Д и ПМО 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924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Не имеют ФР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%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886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Всего прошло Д и ПМО 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817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Не имеют ФР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641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%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811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Всего прошло Д и ПМО 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Не имеют ФР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jc w:val="center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%</w:t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  <w:r>
              <w:rPr>
                <w:rFonts w:ascii="FreeSerif" w:hAnsi="FreeSerif" w:cs="FreeSerif"/>
                <w:b w:val="0"/>
                <w:bCs w:val="0"/>
                <w:sz w:val="20"/>
                <w:szCs w:val="20"/>
              </w:rPr>
            </w:r>
          </w:p>
        </w:tc>
      </w:tr>
      <w:tr>
        <w:tblPrEx/>
        <w:trPr/>
        <w:tc>
          <w:tcPr>
            <w:tcW w:w="992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Итого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8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14983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498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0,0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7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20588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92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4898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23,8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8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24046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10541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641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43,8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1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29867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7385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24,7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  <w:tr>
        <w:tblPrEx/>
        <w:trPr/>
        <w:tc>
          <w:tcPr>
            <w:tcW w:w="992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Поправочный коэффициент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8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0.935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498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7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92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0.935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8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0.935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641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1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0.935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  <w:tr>
        <w:tblPrEx/>
        <w:trPr/>
        <w:tc>
          <w:tcPr>
            <w:tcW w:w="992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Итог доля лиц, ведущих ЗОЖ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86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498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0,0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77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924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22,2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86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7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641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41,0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811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709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567" w:type="dxa"/>
            <w:vMerge w:val="restart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23,1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</w:tbl>
    <w:p>
      <w:pPr>
        <w:spacing w:before="0" w:beforeAutospacing="0" w:after="0" w:afterAutospacing="0" w:line="240" w:lineRule="auto"/>
        <w:rPr>
          <w:rFonts w:ascii="FreeSerif" w:hAnsi="FreeSerif" w:cs="FreeSerif"/>
          <w:sz w:val="20"/>
          <w:szCs w:val="20"/>
        </w:rPr>
      </w:pPr>
      <w:r>
        <w:rPr>
          <w:rFonts w:ascii="FreeSerif" w:hAnsi="FreeSerif" w:eastAsia="FreeSerif" w:cs="FreeSerif"/>
          <w:sz w:val="20"/>
          <w:szCs w:val="20"/>
        </w:rPr>
      </w:r>
      <w:r>
        <w:rPr>
          <w:rFonts w:ascii="FreeSerif" w:hAnsi="FreeSerif" w:cs="FreeSerif"/>
          <w:sz w:val="20"/>
          <w:szCs w:val="20"/>
        </w:rPr>
      </w:r>
      <w:r>
        <w:rPr>
          <w:rFonts w:ascii="FreeSerif" w:hAnsi="FreeSerif" w:cs="FreeSerif"/>
          <w:sz w:val="20"/>
          <w:szCs w:val="20"/>
        </w:rPr>
      </w:r>
    </w:p>
    <w:tbl>
      <w:tblPr>
        <w:tblStyle w:val="967"/>
        <w:tblW w:w="0" w:type="auto"/>
        <w:tblLayout w:type="fixed"/>
        <w:tblLook w:val="04A0" w:firstRow="1" w:lastRow="0" w:firstColumn="1" w:lastColumn="0" w:noHBand="0" w:noVBand="1"/>
      </w:tblPr>
      <w:tblGrid>
        <w:gridCol w:w="1457"/>
        <w:gridCol w:w="1094"/>
        <w:gridCol w:w="1276"/>
        <w:gridCol w:w="1276"/>
        <w:gridCol w:w="1134"/>
        <w:gridCol w:w="1134"/>
        <w:gridCol w:w="1134"/>
        <w:gridCol w:w="1134"/>
      </w:tblGrid>
      <w:tr>
        <w:tblPrEx/>
        <w:trPr/>
        <w:tc>
          <w:tcPr>
            <w:tcW w:w="145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eastAsia="FreeSerif" w:cs="FreeSerif"/>
                <w:b w:val="0"/>
                <w:i w:val="0"/>
                <w:strike w:val="0"/>
                <w:color w:val="000000"/>
                <w:sz w:val="20"/>
                <w:szCs w:val="20"/>
                <w:u w:val="none"/>
              </w:rPr>
              <w:t xml:space="preserve">Плановые показатели по Краснодарскому краю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09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2023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2025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2026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2027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2028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2029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2030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  <w:tr>
        <w:tblPrEx/>
        <w:trPr/>
        <w:tc>
          <w:tcPr>
            <w:tcW w:w="1457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09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12,1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14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276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14,6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15,3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16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16,9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  <w:tc>
          <w:tcPr>
            <w:tcW w:w="1134" w:type="dxa"/>
            <w:textDirection w:val="lrTb"/>
            <w:noWrap w:val="false"/>
          </w:tcPr>
          <w:p>
            <w:pPr>
              <w:spacing w:before="0" w:beforeAutospacing="0" w:after="0" w:afterAutospacing="0" w:line="240" w:lineRule="auto"/>
              <w:rPr>
                <w:rFonts w:ascii="FreeSerif" w:hAnsi="FreeSerif" w:cs="FreeSerif"/>
                <w:sz w:val="20"/>
                <w:szCs w:val="20"/>
              </w:rPr>
            </w:pPr>
            <w:r>
              <w:rPr>
                <w:rFonts w:ascii="FreeSerif" w:hAnsi="FreeSerif" w:eastAsia="FreeSerif" w:cs="FreeSerif"/>
                <w:sz w:val="20"/>
                <w:szCs w:val="20"/>
              </w:rPr>
              <w:t xml:space="preserve">18,1</w:t>
            </w:r>
            <w:r>
              <w:rPr>
                <w:rFonts w:ascii="FreeSerif" w:hAnsi="FreeSerif" w:cs="FreeSerif"/>
                <w:sz w:val="20"/>
                <w:szCs w:val="20"/>
              </w:rPr>
            </w:r>
            <w:r>
              <w:rPr>
                <w:rFonts w:ascii="FreeSerif" w:hAnsi="FreeSerif" w:cs="FreeSerif"/>
                <w:sz w:val="20"/>
                <w:szCs w:val="20"/>
              </w:rPr>
            </w:r>
          </w:p>
        </w:tc>
      </w:tr>
    </w:tbl>
    <w:p>
      <w:pPr>
        <w:ind w:firstLine="0"/>
        <w:jc w:val="both"/>
        <w:spacing w:before="0" w:beforeAutospacing="0" w:after="0" w:afterAutospacing="0" w:line="240" w:lineRule="auto"/>
        <w:rPr>
          <w:rFonts w:ascii="FreeSerif" w:hAnsi="FreeSerif" w:cs="FreeSerif"/>
          <w:b/>
          <w:bCs/>
          <w:sz w:val="28"/>
          <w:szCs w:val="28"/>
        </w:rPr>
      </w:pPr>
      <w:r>
        <w:rPr>
          <w:rFonts w:ascii="FreeSerif" w:hAnsi="FreeSerif" w:eastAsia="FreeSerif" w:cs="FreeSerif"/>
          <w:b/>
          <w:bCs/>
          <w:sz w:val="28"/>
          <w:szCs w:val="28"/>
        </w:rPr>
      </w:r>
      <w:r>
        <w:rPr>
          <w:rFonts w:ascii="FreeSerif" w:hAnsi="FreeSerif" w:cs="FreeSerif"/>
          <w:b/>
          <w:bCs/>
          <w:sz w:val="28"/>
          <w:szCs w:val="28"/>
        </w:rPr>
      </w:r>
      <w:r>
        <w:rPr>
          <w:rFonts w:ascii="FreeSerif" w:hAnsi="FreeSerif" w:cs="FreeSerif"/>
          <w:b/>
          <w:bCs/>
          <w:sz w:val="28"/>
          <w:szCs w:val="28"/>
        </w:rPr>
      </w:r>
    </w:p>
    <w:p>
      <w:pPr>
        <w:ind w:firstLine="851"/>
        <w:jc w:val="both"/>
        <w:spacing w:before="0" w:beforeAutospacing="0" w:after="0" w:afterAutospacing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976"/>
        <w:jc w:val="center"/>
        <w:spacing w:before="0" w:beforeAutospacing="0" w:after="0" w:afterAutospacing="0" w:line="240" w:lineRule="auto"/>
        <w:tabs>
          <w:tab w:val="left" w:pos="1111" w:leader="none"/>
        </w:tabs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обеспеченности населения Ленинградского муниципального округа объектами физической культуры и спорта.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pStyle w:val="976"/>
        <w:jc w:val="center"/>
        <w:spacing w:before="0" w:beforeAutospacing="0" w:after="0" w:afterAutospacing="0" w:line="240" w:lineRule="auto"/>
        <w:tabs>
          <w:tab w:val="left" w:pos="1111" w:leader="none"/>
        </w:tabs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Общее количество объектов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физической культуры и спорта (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ФКиС) в Ленинградском муниципальном округе составляет 107.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Общая обеспеченность: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107 объектов / 58 628 человек * 1000 = 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1,83 объектов на 1000 населения.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709" w:right="0" w:firstLine="0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Расчет обеспеченности по каждому виду объектов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t xml:space="preserve">Таблица 11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tbl>
      <w:tblPr>
        <w:tblStyle w:val="967"/>
        <w:tblW w:w="0" w:type="auto"/>
        <w:tblLook w:val="04A0" w:firstRow="1" w:lastRow="0" w:firstColumn="1" w:lastColumn="0" w:noHBand="0" w:noVBand="1"/>
      </w:tblPr>
      <w:tblGrid>
        <w:gridCol w:w="3118"/>
        <w:gridCol w:w="3118"/>
        <w:gridCol w:w="3118"/>
      </w:tblGrid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Вид объекта ФКиС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Количество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Обеспеченность на 1000 населения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left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Учебно-спортивный комплекс (УСК)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0,017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Бассейн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2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0,034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Стадион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2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0,034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Плоскостные спортивные сооружения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36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0,614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Фитнес-центр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Велодорожки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Тир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0,017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Центр единоборств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0,017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Футбольные поля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16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0,273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Воркаут площадки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2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0,034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Спортивные залы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34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0,580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Городошный корт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2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0,034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Гребная база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0,017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Универсальные игровые площадки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0,068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Площадки с тренажерами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4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0,068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Скейт площадка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0,017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  <w:tr>
        <w:tblPrEx/>
        <w:trPr/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ИТОГО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107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  <w:tc>
          <w:tcPr>
            <w:tcW w:w="3118" w:type="dxa"/>
            <w:vMerge w:val="restart"/>
            <w:textDirection w:val="lrTb"/>
            <w:noWrap w:val="false"/>
          </w:tcPr>
          <w:p>
            <w:pPr>
              <w:jc w:val="both"/>
              <w:spacing w:before="0" w:beforeAutospacing="0" w:after="0" w:afterAutospacing="0" w:line="240" w:lineRule="auto"/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pPr>
            <w:r>
              <w:rPr>
                <w:rFonts w:ascii="FreeSerif" w:hAnsi="FreeSerif" w:eastAsia="FreeSerif" w:cs="FreeSerif"/>
                <w:b w:val="0"/>
                <w:bCs w:val="0"/>
                <w:color w:val="000000" w:themeColor="text1"/>
                <w:sz w:val="28"/>
                <w:szCs w:val="28"/>
              </w:rPr>
              <w:t xml:space="preserve">1,83</w:t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  <w:r>
              <w:rPr>
                <w:rFonts w:ascii="FreeSerif" w:hAnsi="FreeSerif" w:cs="FreeSerif"/>
                <w:b w:val="0"/>
                <w:bCs w:val="0"/>
                <w:color w:val="000000" w:themeColor="text1"/>
                <w:sz w:val="28"/>
                <w:szCs w:val="28"/>
              </w:rPr>
            </w:r>
          </w:p>
        </w:tc>
      </w:tr>
    </w:tbl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Л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енинградский м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униципальный округ обеспечен 1,83 объектами ФКиС на 1000 населения. Наибольшую долю в структуре спортивной инфраструктуры составляют плоскостные спортивные сооружения (0,614 на 1000 населения) и спортивные залы (0,580 на 1000 населения). Это говорит о нали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чии базовой инфраструктуры для занятий спортом, однако, есть недостаток в специализированных объектах, таких как фитнес-центры и велодорожки, что может ограничивать разнообразие спортивных активностей для населения.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В рамках утвержденной стратегии предусмотрено строительство и модернизация следующих объектов: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2025-2026 годы – капитальный ремонт стадиона;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2026 год – модульный спортивный зал;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2027 год – многофункциональная спортивно-игровая площадка;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2029 год – малобюджетный спортивный зал.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Эти инициативы должны способствовать улучшению обеспеченности населения объектами ФКиС и расширению возможностей для занятий физической культурой и спортом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white"/>
        </w:rPr>
      </w:r>
    </w:p>
    <w:p>
      <w:pPr>
        <w:ind w:firstLine="0"/>
        <w:jc w:val="both"/>
        <w:spacing w:before="0" w:beforeAutospacing="0" w:after="0" w:afterAutospacing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jc w:val="center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  <w:highlight w:val="none"/>
        </w:rPr>
      </w:pP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  <w:t xml:space="preserve">Анализ доступности продуктов здорового питания для населения Ленинградского муниципального округа</w:t>
      </w: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</w:p>
    <w:p>
      <w:pPr>
        <w:jc w:val="center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sz w:val="28"/>
          <w:szCs w:val="28"/>
        </w:rPr>
      </w:pPr>
      <w:r>
        <w:rPr>
          <w:rFonts w:ascii="FreeSerif" w:hAnsi="FreeSerif" w:cs="FreeSerif"/>
          <w:b w:val="0"/>
          <w:bCs w:val="0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  <w:r>
        <w:rPr>
          <w:rFonts w:ascii="FreeSerif" w:hAnsi="FreeSerif" w:cs="FreeSerif"/>
          <w:b w:val="0"/>
          <w:bCs w:val="0"/>
          <w:sz w:val="28"/>
          <w:szCs w:val="28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Здоровье населения Ленинградского муниципального округа напрямую зависит от доступности качественных и здоровых продуктов питания. Поскольку большая часть населения не имеет возможности самостоятельно обеспечивать себя необходи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мым объемом продуктов, основная нагрузка ложится на розничную торговую сеть. В условиях развития крупных торговых форматов и изменения структуры потребительского рынка, необходимо оценить фактическую доступность продуктов здорового питания для жителей окру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га.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рамках данного анализа была проведена оценка доступности овощей и фруктов как основных составляющих здорового рациона. Критерием доступности выбрано количество точек реализации овощей и фруктов на 1000 человек населения. Дополнительно рассмотрены вопросы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пространственного распределения торговых точек и их транспортной/пешеходной доступности.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Предварительный анализ доступности продуктов здорового питания (на примере овощей и фруктов) для населения Ленинградского муниципального округа позволяет сделать следующие выводы: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21"/>
        </w:numPr>
        <w:contextualSpacing/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Количественная доступность: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на территории Ленинградского 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муниципального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 округа насчитывается 110 точек реализации овощей и фруктов, что составляет 2 торговых объекта на 1000 человек населени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я.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(Рис. 1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2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white"/>
        </w:rPr>
        <w:t xml:space="preserve">).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Этот показатель отражает достаточное количест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во торговых точек для обеспечения населения овощами и фруктами.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21"/>
        </w:numPr>
        <w:contextualSpacing/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Пространственная доступность: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анализ пространственного распределения торговых точек показал, что большинство из них сосредоточено в центральном районе округа, вдоль основных автомоби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льных дорог. Это свидетельствует об ориентации на удобство транспортной доступности для покупателей. Не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смотря на концентрацию в центре, сделан вывод об отсутствии проблем с транспортной и пешеходной доступностью торговых объектов по реализации овощей и фруктов на всей территории Ленинградского  муниципального округа.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Анализ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оценки доступности алкогольной и табачной продукции для населения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направлен на определение плотности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размещения точек реализации данных товаров, что является одним из факторов, влияющих на уровень потребления и связанные с ним риски для здоровья.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contextualSpacing/>
        <w:ind w:left="0" w:right="0" w:firstLine="0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center"/>
        <w:spacing w:before="0" w:beforeAutospacing="0" w:after="0" w:afterAutospacing="0" w:line="240" w:lineRule="auto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Количество торговых объ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ектов по реализации овощей и фруктов на территории Ленинградского  муниципального округа.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right"/>
        <w:rPr>
          <w:rFonts w:ascii="FreeSerif" w:hAnsi="FreeSerif" w:eastAsia="FreeSerif" w:cs="FreeSerif"/>
          <w:sz w:val="28"/>
          <w:szCs w:val="28"/>
          <w:highlight w:val="whit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whit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white"/>
          <w14:ligatures w14:val="none"/>
        </w:rPr>
      </w:r>
    </w:p>
    <w:p>
      <w:pPr>
        <w:contextualSpacing/>
        <w:ind w:left="0" w:right="0" w:firstLine="709"/>
        <w:jc w:val="right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white"/>
        </w:rPr>
      </w:r>
      <w:r>
        <w:rPr>
          <w:rFonts w:ascii="FreeSerif" w:hAnsi="FreeSerif" w:eastAsia="FreeSerif" w:cs="FreeSerif"/>
          <w:sz w:val="28"/>
          <w:szCs w:val="28"/>
          <w:highlight w:val="white"/>
          <w14:ligatures w14:val="none"/>
        </w:rPr>
        <w:t xml:space="preserve">Рисунок 12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left"/>
        <w:tabs>
          <w:tab w:val="left" w:pos="6341" w:leader="none"/>
        </w:tabs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 xml:space="preserve">cт. Ленинградская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 xml:space="preserve">                             Ленинградский  муниципальный округ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left"/>
        <w:tabs>
          <w:tab w:val="left" w:pos="6341" w:leader="none"/>
        </w:tabs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5120" behindDoc="1" locked="0" layoutInCell="1" allowOverlap="1">
                <wp:simplePos x="0" y="0"/>
                <wp:positionH relativeFrom="column">
                  <wp:posOffset>3130890</wp:posOffset>
                </wp:positionH>
                <wp:positionV relativeFrom="paragraph">
                  <wp:posOffset>194061</wp:posOffset>
                </wp:positionV>
                <wp:extent cx="2993685" cy="3122056"/>
                <wp:effectExtent l="0" t="0" r="0" b="0"/>
                <wp:wrapNone/>
                <wp:docPr id="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0409490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"/>
                        <a:srcRect l="32302" t="37153" r="36110" b="13941"/>
                        <a:stretch/>
                      </pic:blipFill>
                      <pic:spPr bwMode="auto">
                        <a:xfrm rot="0" flipH="0" flipV="0">
                          <a:off x="0" y="0"/>
                          <a:ext cx="2993684" cy="31220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position:absolute;z-index:-5120;o:allowoverlap:true;o:allowincell:true;mso-position-horizontal-relative:text;margin-left:246.53pt;mso-position-horizontal:absolute;mso-position-vertical-relative:text;margin-top:15.28pt;mso-position-vertical:absolute;width:235.72pt;height:245.83pt;mso-wrap-distance-left:9.07pt;mso-wrap-distance-top:0.00pt;mso-wrap-distance-right:9.07pt;mso-wrap-distance-bottom:0.00pt;rotation:0;" stroked="false">
                <v:path textboxrect="0,0,0,0"/>
                <v:imagedata r:id="rId14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2048" behindDoc="1" locked="0" layoutInCell="1" allowOverlap="1">
                <wp:simplePos x="0" y="0"/>
                <wp:positionH relativeFrom="column">
                  <wp:posOffset>-107610</wp:posOffset>
                </wp:positionH>
                <wp:positionV relativeFrom="paragraph">
                  <wp:posOffset>194061</wp:posOffset>
                </wp:positionV>
                <wp:extent cx="2924175" cy="3122056"/>
                <wp:effectExtent l="0" t="0" r="0" b="0"/>
                <wp:wrapNone/>
                <wp:docPr id="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9781574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rcRect l="36150" t="34068" r="25367" b="10631"/>
                        <a:stretch/>
                      </pic:blipFill>
                      <pic:spPr bwMode="auto">
                        <a:xfrm rot="0" flipH="0" flipV="0">
                          <a:off x="0" y="0"/>
                          <a:ext cx="2924174" cy="31220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position:absolute;z-index:-2048;o:allowoverlap:true;o:allowincell:true;mso-position-horizontal-relative:text;margin-left:-8.47pt;mso-position-horizontal:absolute;mso-position-vertical-relative:text;margin-top:15.28pt;mso-position-vertical:absolute;width:230.25pt;height:245.83pt;mso-wrap-distance-left:9.07pt;mso-wrap-distance-top:0.00pt;mso-wrap-distance-right:9.07pt;mso-wrap-distance-bottom:0.00pt;rotation:0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r/>
      <w:r/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r/>
      <w:r/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center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0"/>
        <w:jc w:val="left"/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0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</w:p>
    <w:p>
      <w:pPr>
        <w:ind w:left="0" w:right="0" w:firstLine="0"/>
        <w:jc w:val="left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плотности размещения точек по продаже табачной продукции: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pStyle w:val="958"/>
        <w:numPr>
          <w:ilvl w:val="0"/>
          <w:numId w:val="22"/>
        </w:num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Количественная оценка: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по состоянию на 01.06.2025 г., на территории Ленинградского муниципального округа функционирует 190 торговых объектов, осуществляющих розничную продажу табачной про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дукции.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22"/>
        </w:num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Плотность размещения: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из расчета на 1000 человек населения приходится 3 торговых объекта по продаже никотинсодержащей продукции (рис. 2). Этот показатель указывает на высокую доступность табачной продукции для населения.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22"/>
        </w:num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Динамика специализированных торговых объектов: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В 2023 году на территории округа функционировало 14 специализированных торговых объектов по продаже никотинсодержащей продукции. К 1 января 2025 года их количество увеличилось до 20. Этот рост свидетельствует об увеличении предложения табачной продукции н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 рынке и может указывать на активизацию работы данных торговых объектов или перепрофилирование существующих.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left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Количество торговых объектов по реализации 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никотинсодержащей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 продукции на территории Ленинградского 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муниципального 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округа.</w:t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0"/>
        <w:jc w:val="left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sz w:val="28"/>
          <w:szCs w:val="28"/>
          <w:highlight w:val="white"/>
        </w:rPr>
        <w:t xml:space="preserve">Рисунок 13 </w:t>
      </w: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left"/>
        <w:tabs>
          <w:tab w:val="left" w:pos="6341" w:leader="none"/>
        </w:tabs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 xml:space="preserve">cт. Ленинградская                             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 xml:space="preserve">Ленинградский  муниципальный округ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r>
        <w:rPr>
          <w:rFonts w:ascii="FreeSerif" w:hAnsi="FreeSerif" w:eastAsia="FreeSerif" w:cs="FreeSerif"/>
          <w:sz w:val="28"/>
          <w:szCs w:val="28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0240" behindDoc="0" locked="0" layoutInCell="1" allowOverlap="1">
                <wp:simplePos x="0" y="0"/>
                <wp:positionH relativeFrom="column">
                  <wp:posOffset>3168990</wp:posOffset>
                </wp:positionH>
                <wp:positionV relativeFrom="paragraph">
                  <wp:posOffset>112263</wp:posOffset>
                </wp:positionV>
                <wp:extent cx="2895600" cy="3175618"/>
                <wp:effectExtent l="0" t="0" r="0" b="0"/>
                <wp:wrapNone/>
                <wp:docPr id="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6757091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rcRect l="41441" t="38956" r="31460" b="9733"/>
                        <a:stretch/>
                      </pic:blipFill>
                      <pic:spPr bwMode="auto">
                        <a:xfrm rot="0" flipH="0" flipV="0">
                          <a:off x="0" y="0"/>
                          <a:ext cx="2895598" cy="317561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position:absolute;z-index:10240;o:allowoverlap:true;o:allowincell:true;mso-position-horizontal-relative:text;margin-left:249.53pt;mso-position-horizontal:absolute;mso-position-vertical-relative:text;margin-top:8.84pt;mso-position-vertical:absolute;width:228.00pt;height:250.05pt;mso-wrap-distance-left:9.07pt;mso-wrap-distance-top:0.00pt;mso-wrap-distance-right:9.07pt;mso-wrap-distance-bottom:0.00pt;rotation:0;" stroked="false">
                <v:path textboxrect="0,0,0,0"/>
                <v:imagedata r:id="rId16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8192" behindDoc="0" locked="0" layoutInCell="1" allowOverlap="1">
                <wp:simplePos x="0" y="0"/>
                <wp:positionH relativeFrom="column">
                  <wp:posOffset>-126660</wp:posOffset>
                </wp:positionH>
                <wp:positionV relativeFrom="paragraph">
                  <wp:posOffset>112263</wp:posOffset>
                </wp:positionV>
                <wp:extent cx="3095625" cy="3175618"/>
                <wp:effectExtent l="0" t="0" r="0" b="0"/>
                <wp:wrapNone/>
                <wp:docPr id="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7112583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/>
                        <a:srcRect l="35387" t="31829" r="29015" b="8593"/>
                        <a:stretch/>
                      </pic:blipFill>
                      <pic:spPr bwMode="auto">
                        <a:xfrm rot="0" flipH="0" flipV="0">
                          <a:off x="0" y="0"/>
                          <a:ext cx="3095624" cy="317561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position:absolute;z-index:8192;o:allowoverlap:true;o:allowincell:true;mso-position-horizontal-relative:text;margin-left:-9.97pt;mso-position-horizontal:absolute;mso-position-vertical-relative:text;margin-top:8.84pt;mso-position-vertical:absolute;width:243.75pt;height:250.05pt;mso-wrap-distance-left:9.07pt;mso-wrap-distance-top:0.00pt;mso-wrap-distance-right:9.07pt;mso-wrap-distance-bottom:0.00pt;rotation:0;" stroked="false">
                <v:path textboxrect="0,0,0,0"/>
                <v:imagedata r:id="rId17" o:title=""/>
              </v:shape>
            </w:pict>
          </mc:Fallback>
        </mc:AlternateContent>
      </w:r>
      <w:r>
        <w:rPr>
          <w:rFonts w:ascii="FreeSerif" w:hAnsi="FreeSerif" w:eastAsia="FreeSerif" w:cs="FreeSerif"/>
          <w:sz w:val="28"/>
          <w:szCs w:val="28"/>
        </w:rPr>
      </w:r>
      <w:r/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r>
        <w:rPr>
          <w:rFonts w:ascii="FreeSerif" w:hAnsi="FreeSerif" w:eastAsia="FreeSerif" w:cs="FreeSerif"/>
          <w:sz w:val="28"/>
          <w:szCs w:val="28"/>
        </w:rPr>
      </w:r>
      <w:r/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</w:p>
    <w:p>
      <w:pPr>
        <w:ind w:left="0" w:right="0" w:firstLine="0"/>
        <w:jc w:val="left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Анализ плотности размещения точек по продаже алкогольной продукции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pStyle w:val="958"/>
        <w:numPr>
          <w:ilvl w:val="0"/>
          <w:numId w:val="23"/>
        </w:numPr>
        <w:ind w:left="0" w:right="0" w:firstLine="709"/>
        <w:jc w:val="both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Количественная оценка: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по состоянию на 1 июл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я 2025 г., на территории Ленинградского муниципального округа функционирует 196 торговых объектов, осуществляющих розничную продажу алкогольной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продукции.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/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23"/>
        </w:numPr>
        <w:ind w:left="0" w:right="0" w:firstLine="709"/>
        <w:jc w:val="both"/>
        <w:spacing w:before="0" w:beforeAutospacing="1" w:after="0" w:afterAutospacing="1" w:line="240" w:lineRule="auto"/>
        <w:shd w:val="clear" w:color="ffffff" w:fill="ffffff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Плотность размещения: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из расчета на 1000 человек населения приходится 3 торговых объекта по продаже алкогольной продукции (Рис. 3). Показатель плотности размещения алкогольной продукции также является высоким.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23"/>
        </w:numPr>
        <w:ind w:left="0" w:right="0" w:firstLine="709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Правовое регулирование: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на т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ерритории Ленинградского муниципального округа действует постановление администрации муниципального образования Ленинградский район от 14 декабря 2023 г. № 1451 «Об определении границ прилегающих к некоторым организациям и (или) объектам территорий, на кот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орых не допускается розничная продажа алкогольной продукции и розничная продажа алкогольной продукции при оказании услуг общественного питания, на территории муниципального образования Ленинградский район», которое определяет границы прилегающих территорий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, на которых запрещена продажа алкоголя. Однако, несмотря на наличие данного нормативно-правового акта, количество торговых объектов по реализации алкогольной продукции остается высоким.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709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center"/>
        <w:tabs>
          <w:tab w:val="left" w:pos="2036" w:leader="none"/>
        </w:tabs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</w:rPr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Количество торговых объектов по реализации 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алкогольной</w:t>
      </w:r>
      <w:r>
        <w:rPr>
          <w:rFonts w:ascii="FreeSerif" w:hAnsi="FreeSerif" w:eastAsia="FreeSerif" w:cs="FreeSerif"/>
          <w:sz w:val="28"/>
          <w:szCs w:val="28"/>
          <w:highlight w:val="none"/>
        </w:rPr>
        <w:t xml:space="preserve"> продукции на территории Ленинградского муниципального округа.</w:t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ind w:left="0" w:right="0" w:firstLine="709"/>
        <w:jc w:val="right"/>
        <w:tabs>
          <w:tab w:val="left" w:pos="2036" w:leader="none"/>
        </w:tabs>
        <w:rPr>
          <w:rFonts w:ascii="FreeSerif" w:hAnsi="FreeSerif" w:cs="FreeSerif"/>
          <w:sz w:val="28"/>
          <w:szCs w:val="28"/>
          <w:highlight w:val="none"/>
        </w:rPr>
      </w:pPr>
      <w:r>
        <w:rPr>
          <w:rFonts w:ascii="FreeSerif" w:hAnsi="FreeSerif" w:cs="FreeSerif"/>
          <w:sz w:val="28"/>
          <w:szCs w:val="28"/>
          <w:highlight w:val="yellow"/>
        </w:rPr>
      </w:r>
      <w:r>
        <w:rPr>
          <w:rFonts w:ascii="FreeSerif" w:hAnsi="FreeSerif" w:cs="FreeSerif"/>
          <w:sz w:val="28"/>
          <w:szCs w:val="28"/>
          <w:highlight w:val="white"/>
        </w:rPr>
        <w:t xml:space="preserve">Рисунок 14 </w:t>
      </w: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none"/>
        </w:rPr>
      </w:r>
    </w:p>
    <w:p>
      <w:pPr>
        <w:contextualSpacing/>
        <w:ind w:left="0" w:right="0" w:firstLine="709"/>
        <w:jc w:val="left"/>
        <w:tabs>
          <w:tab w:val="left" w:pos="6341" w:leader="none"/>
        </w:tabs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 xml:space="preserve">cт. Ленинградская                             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  <w:t xml:space="preserve">Ленинградский  муниципальный округ</w:t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sz w:val="28"/>
          <w:szCs w:val="28"/>
          <w:highlight w:val="none"/>
          <w14:ligatures w14:val="none"/>
        </w:rPr>
      </w:r>
    </w:p>
    <w:p>
      <w:pPr>
        <w:ind w:left="0" w:right="0" w:firstLine="709"/>
        <w:jc w:val="right"/>
        <w:tabs>
          <w:tab w:val="left" w:pos="2036" w:leader="none"/>
        </w:tabs>
        <w:rPr>
          <w:rFonts w:ascii="FreeSerif" w:hAnsi="FreeSerif" w:cs="FreeSerif"/>
          <w:sz w:val="28"/>
          <w:szCs w:val="28"/>
          <w:highlight w:val="yellow"/>
        </w:rPr>
      </w:pPr>
      <w:r>
        <w:rPr>
          <w:rFonts w:ascii="FreeSerif" w:hAnsi="FreeSerif" w:cs="FreeSerif"/>
          <w:sz w:val="28"/>
          <w:szCs w:val="28"/>
          <w:highlight w:val="none"/>
        </w:rPr>
      </w:r>
      <w:r>
        <w:rPr>
          <w:rFonts w:ascii="FreeSerif" w:hAnsi="FreeSerif" w:cs="FreeSerif"/>
          <w:sz w:val="28"/>
          <w:szCs w:val="28"/>
          <w:highlight w:val="yellow"/>
        </w:rPr>
      </w:r>
      <w:r>
        <w:rPr>
          <w:rFonts w:ascii="FreeSerif" w:hAnsi="FreeSerif" w:cs="FreeSerif"/>
          <w:sz w:val="28"/>
          <w:szCs w:val="28"/>
          <w:highlight w:val="yellow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0240" behindDoc="0" locked="0" layoutInCell="1" allowOverlap="1">
                <wp:simplePos x="0" y="0"/>
                <wp:positionH relativeFrom="column">
                  <wp:posOffset>3045165</wp:posOffset>
                </wp:positionH>
                <wp:positionV relativeFrom="paragraph">
                  <wp:posOffset>134502</wp:posOffset>
                </wp:positionV>
                <wp:extent cx="2933700" cy="3095891"/>
                <wp:effectExtent l="0" t="0" r="0" b="0"/>
                <wp:wrapNone/>
                <wp:docPr id="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51358391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rcRect l="41441" t="38956" r="31460" b="9733"/>
                        <a:stretch/>
                      </pic:blipFill>
                      <pic:spPr bwMode="auto">
                        <a:xfrm rot="0" flipH="0" flipV="0">
                          <a:off x="0" y="0"/>
                          <a:ext cx="2933699" cy="309588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position:absolute;z-index:10240;o:allowoverlap:true;o:allowincell:true;mso-position-horizontal-relative:text;margin-left:239.78pt;mso-position-horizontal:absolute;mso-position-vertical-relative:text;margin-top:10.59pt;mso-position-vertical:absolute;width:231.00pt;height:243.77pt;mso-wrap-distance-left:9.07pt;mso-wrap-distance-top:0.00pt;mso-wrap-distance-right:9.07pt;mso-wrap-distance-bottom:0.00pt;rotation:0;" stroked="false">
                <v:path textboxrect="0,0,0,0"/>
                <v:imagedata r:id="rId16" o:title=""/>
              </v:shape>
            </w:pict>
          </mc:Fallback>
        </mc:AlternateContent>
      </w:r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819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84541</wp:posOffset>
                </wp:positionV>
                <wp:extent cx="2807630" cy="3145852"/>
                <wp:effectExtent l="0" t="0" r="0" b="0"/>
                <wp:wrapNone/>
                <wp:docPr id="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8160985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/>
                        <a:srcRect l="35387" t="31829" r="29015" b="8593"/>
                        <a:stretch/>
                      </pic:blipFill>
                      <pic:spPr bwMode="auto">
                        <a:xfrm rot="0" flipH="0" flipV="0">
                          <a:off x="0" y="0"/>
                          <a:ext cx="2807629" cy="314585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position:absolute;z-index:8192;o:allowoverlap:true;o:allowincell:true;mso-position-horizontal-relative:text;margin-left:0.00pt;mso-position-horizontal:absolute;mso-position-vertical-relative:text;margin-top:6.66pt;mso-position-vertical:absolute;width:221.07pt;height:247.70pt;mso-wrap-distance-left:9.07pt;mso-wrap-distance-top:0.00pt;mso-wrap-distance-right:9.07pt;mso-wrap-distance-bottom:0.00pt;rotation:0;" stroked="false">
                <v:path textboxrect="0,0,0,0"/>
                <v:imagedata r:id="rId17" o:title=""/>
              </v:shape>
            </w:pict>
          </mc:Fallback>
        </mc:AlternateConten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r/>
      <w:r/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tab/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/>
    </w:p>
    <w:p>
      <w:pPr>
        <w:ind w:left="0" w:right="0" w:firstLine="0"/>
        <w:jc w:val="left"/>
        <w:spacing w:before="0" w:beforeAutospacing="0" w:after="0" w:afterAutospacing="0" w:line="240" w:lineRule="auto"/>
        <w:shd w:val="clear" w:color="ffffff" w:fill="ffffff"/>
        <w:tabs>
          <w:tab w:val="left" w:pos="6386" w:leader="none"/>
        </w:tabs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0"/>
        <w:jc w:val="both"/>
        <w:spacing w:before="0" w:beforeAutospacing="0" w:after="0" w:afterAutospacing="0" w:line="240" w:lineRule="auto"/>
        <w:shd w:val="clear" w:color="ffffff" w:fill="ffffff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Высокая плотность размещения точек продажи как табачной, так и алкогольной продукции создает условия для их легкой доступности для населения, что может способствовать увеличению потребления и, как следствие потребление алкоголя.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Необходимо у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силить контроль за соблюдением законодательства в области продажи алкоголя и табака, в том числе за соблюдением установленных ограничений по времени продажи, расстоянию от образовательных учреждений и других объектов.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 Проводить профилактические мероприятия, направленные на снижение потребления алкоголя и табака, включая информационные кампании, направленные на информирование населения о вреде алкоголя и табака, пропаганду здорового образа жизни, а также работу с молоде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жью и другими группами риска.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contextualSpacing w:val="0"/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Т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аким образом, анализ доступности продуктов здорового питания, а также плотности размещения торговых объектов по продаже табака и алкоголя в Ленинградском муниципальном округе показывает важные аспекты потребительского рынка. С одной стороны, существует дос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т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аточное количество точек реализации здоровых продуктов, что обеспечивает население необходимыми ресурсами. С другой стороны, высокая плотность точек продажи табачной и алкогольной продукции может негативно сказываться на здоровье населения и требует дальне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йшего контроля и регулирования.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</w:p>
    <w:p>
      <w:pPr>
        <w:contextualSpacing w:val="0"/>
        <w:ind w:left="0" w:right="0" w:firstLine="709"/>
        <w:jc w:val="both"/>
        <w:spacing w:before="0" w:after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На территории Ленинградского муниципального округа действуют 66 предприятий с численностью свыше 35 человек, из них 24 предприятия от 100 человек. Восемь самых крупных предприятий с численностью от 250 человек: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ГБУ СО КК «Ленинградский дом-интернат для престарелых и инвалидов»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ЗАО «Сыродельный комбинат «Ленинградский»,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ГБУЗ «Ленинградская ЦРБ» МЗ КК,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ОАО «Имени Ильича»,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ОАО «Сахарный завод «Ленинградский»,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ООО «Первомайская инкубаторно-птицеводческая станция»,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Филиал № 15 АО «Газпром газораспределение Краснодар»,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Филиал АО “Россети Кубань” Ленинградские электрические сети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 w:val="0"/>
        <w:ind w:left="0" w:right="0" w:firstLine="709"/>
        <w:jc w:val="both"/>
        <w:spacing w:before="0" w:after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настоящее время в корпоративной программе «Укрепление здоровья работающих» участвует 1 организация - ООО “Маранде” (численность сотрудников – 112 человек; куратор - ГБУЗ “Ленинградская центральная районная больница” МЗ КК). Кроме того, с 2025 года планир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уется внедрение корпоративной программы в ГБУ СО КК «Ленинградский ДИПИ» (350 человек).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Необходимо активное  привлечение других работодателей к участию в корпоративных программах.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В муниципальном образовании действует муниципальная программа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 «Повышение рождаемости в Ленинградском муниципальном округе»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  <w:t xml:space="preserve"> цель которой 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bidi="ar-SA"/>
        </w:rPr>
        <w:t xml:space="preserve">повышение рождаемости к 2028 году в Ленинградском муниципальном округе.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Программа включает в себя мероприятия , направленные на повы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ш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ение рождаемости и поддержку семей с детьми, на сохранение репродуктивного здоровья населения и снижение количества абортов, повышение  ценностей семейного образа жизни, сохранение духовно-нравственных традиций в семейных отношениях и семейном воспитании.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</w:t>
      </w:r>
      <w:r>
        <w:rPr>
          <w:rFonts w:ascii="FreeSerif" w:hAnsi="FreeSerif" w:eastAsia="FreeSerif" w:cs="FreeSerif"/>
          <w:color w:val="000000"/>
          <w:sz w:val="28"/>
          <w:szCs w:val="28"/>
          <w:shd w:val="clear" w:color="auto" w:fill="ffffff"/>
          <w:lang w:eastAsia="ru-RU"/>
        </w:rPr>
        <w:t xml:space="preserve">дно из в</w:t>
      </w:r>
      <w:r>
        <w:rPr>
          <w:rFonts w:ascii="FreeSerif" w:hAnsi="FreeSerif" w:eastAsia="FreeSerif" w:cs="FreeSerif"/>
          <w:color w:val="000000"/>
          <w:sz w:val="28"/>
          <w:szCs w:val="28"/>
          <w:shd w:val="clear" w:color="auto" w:fill="ffffff"/>
          <w:lang w:eastAsia="ru-RU"/>
        </w:rPr>
        <w:t xml:space="preserve">ажнейших направлений деятельности является реализация стратегии демографического развития, направленной на сокращение естественной убыли населения, повышение рождаемости, сокращение смертности, в том числе, младенческой, увеличение продолжительности жизни.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Повысить уровень здоровья, живущего и будущих поколений населения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возможно через формирование районной политики, ориентированной на укреп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ление здоровья населения и оздоровление окружающей среды, через формиро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вание ответственного отношения людей к своему здоровью и здоровью окру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жающих.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Все это диктует необходимость комплексного подхода: объединения раз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личных ведомств, организации всех форм собственности, гражданского обще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ства, чья деятельность оказывает влияние на качество жизни и здоровье; по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строения устойчивой системы целенаправленного и согласованного их взаимо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действия в целях решения проблем здоровья населения.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/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Настоящая Программа направлена на формирование «образа жизни»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населения муниципального образования , при реализа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ции которой постепенно, совместными усилиями жителей и органов власти,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образовательные организации и рабочие места, жилье и транспорт, окружаю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щая природная среда станут более благоприятной средой для жизни.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Успешное проведение мероприятий программы, пропагандирующих здо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ровый образ жизни,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 в результате приведет к улучшению демографической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ситуации в муниципальном образовании.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/>
    </w:p>
    <w:p>
      <w:pPr>
        <w:contextualSpacing/>
        <w:ind w:left="0" w:right="0" w:firstLine="709"/>
        <w:jc w:val="both"/>
        <w:spacing w:before="0" w:beforeAutospacing="0" w:after="0" w:afterAutospacing="0" w:line="240" w:lineRule="auto"/>
      </w:pP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Так, ведение жителями Ленинградского муниципального округа здорового образа жизни повлияет на сни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жение смертности, в том числе среди трудоспособного населения, снижение за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болеваемости среди взрослых и детей, снижение вероятности преждевременно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го выхода на пенсию по инвалидности, предупреждение болезней и выявление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болезней на ранних стадиях. Как следствие станет снижение расходов на амбу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латорное содержание и лечение больных в больнице. Здоровый образ жизни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населения, высокие показатели в области здравоохранения приведут к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снижению выездной миграции и увеличению рождаемости, что положительно 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  <w:t xml:space="preserve">скажется на общей демографической обстановке в Ленинградском муниципальном округе.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  <w14:ligatures w14:val="none"/>
        </w:rPr>
      </w:r>
      <w:r/>
    </w:p>
    <w:p>
      <w:pPr>
        <w:ind w:firstLine="851"/>
        <w:jc w:val="both"/>
        <w:spacing w:before="0" w:beforeAutospacing="0" w:after="0" w:afterAutospacing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highlight w:val="none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95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2. Цели, задачи и показатели, сроки и этапы реализации 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46"/>
        <w:jc w:val="center"/>
        <w:spacing w:before="0" w:after="0" w:afterAutospacing="0" w:line="240" w:lineRule="auto"/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yellow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муниципальной    программы</w:t>
      </w: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 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yellow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yellow"/>
        </w:rPr>
      </w:r>
    </w:p>
    <w:p>
      <w:pPr>
        <w:pStyle w:val="95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59"/>
        <w:ind w:firstLine="851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Срок реализации муниципальной программы: 2025 – 2030 годы.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Этапы не предусмотрены.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Целью программы является обеспечение к 2030 г. увеличения доли граждан, ведущих здоровый образ жизни, за счет формирования среды,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способствующей ведению гражданами здорового образа жизни, снижения распространения ХНИЗ и факторов риска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их развития.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59"/>
        <w:ind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При реализации Программы будут решены следующие задачи: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1. Снижение распространенности факторов риска ХНИЗ: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28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Разработка и реализация мероприятий, направленных на снижение распространенности артериальной гипертензии, избыточной массы тела и ожирения, табакокурения, пагубного потребления алкоголя, низкой физической активности и нерационального питания.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28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Организация и проведение информационных кампаний, пропагандирующих здоровый образ жизни и профилактику ХНИЗ.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2. Повышение качества проведения диспансеризации и профилактических медицинских осмотров: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29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Оптимизация процессов организации и проведения диспансеризации определенных групп взрослого населения и профилактических медицинских осмотров.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29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Повышение мотивации населения к прохождению диспансеризации и профилактических осмотров.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3. Формирование среды, способствующей ведению здорового образа жизни: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30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Создание условий, обеспечивающих возможность вести здоровый образ жизни и систематически заниматься физической культурой и спортом.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30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Развитие спортивной инфраструктуры, организация спортивных и физкультурно-массовых мероприятий.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4. Повышение ответственности работодателей за здоровье работников: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8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Стимулирование разработки и принятия корпоративных программ по укреплению здоровья работников через систему экономических и иных стимулов.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8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Организация обучения и консультирования работодателей по вопросам охраны здоровья и профилактики заболеваний на рабочем месте.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5. Формирование у детей стремления к ведению здорового образа жизни: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8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Обеспечение условий для организации и проведения мероприятий, направленных на формирование у детей и подростков стремления к ведению здорового образа жизни.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8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Повышение значимости и престижности здорового поведения через систему воспитательных мероприятий в образовательных учреждениях.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6. Повышение осведомленности и ответственности граждан за свое здоровье: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8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Проведение коммуникационных кампаний, направленных на повышение ответственности граждан за свое здоровье, осознание ценности человеческой жизни и здоровья, формирование культуры здоровья в различных возрастных и социальных группах.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8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Организация мероприятий, направленных на повышение уровня знаний населения о здоровом питании, защиту от табачного дыма, снижение потребления алкоголя.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7. Популяризация физической культуры и спорта: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8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Привлечение населения к выполнению нормативов Всероссийского физкультурно-спортивного комплекса «Готов к труду и обороне» (ГТО).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8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Организация и проведение спортивных соревнований, фестивалей и других мероприятий, направленных на вовлечение населения в занятия физической культурой и спортом.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Ожидаемый результат реализации Программы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9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Увеличение доли граждан, ведущих здоровый образ жизни, в Ленинградском муниципальном округе к 2030 году.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9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Снижение распространенности факторов риска ХНИЗ (артериальная гипертензия, ожирение, табакокурение, злоупотребление алкоголем, низкая физическая активность, нерациональное питание) среди населения Ленинградского МО.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9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Повышение охвата населения профилактическими медицинскими осмотрами и диспансеризацией.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9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Формирование ответственного отношения граждан к своему здоровью.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9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Создание благоприятной среды для ведения здорового образа жизни, обеспечивающей доступность занятий физической культурой и спортом, здорового питания и профилактических мероприятий.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8"/>
        <w:numPr>
          <w:ilvl w:val="0"/>
          <w:numId w:val="19"/>
        </w:numPr>
        <w:ind w:left="0" w:right="0" w:firstLine="709"/>
        <w:jc w:val="both"/>
        <w:spacing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Повышение заинтересованности работодателей в создании условий для укрепления здоровья работников.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ind w:left="0" w:right="0" w:firstLine="709"/>
        <w:jc w:val="both"/>
        <w:spacing w:before="0" w:after="0" w:afterAutospacing="0" w:line="240" w:lineRule="auto"/>
        <w:shd w:val="clear" w:color="ffffff" w:fill="ffffff"/>
        <w:rPr>
          <w:rFonts w:ascii="FreeSerif" w:hAnsi="FreeSerif" w:cs="FreeSerif"/>
          <w:color w:val="000000" w:themeColor="text1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связи с взаимосвязанным характером задач, направленных на укрепление общественного здоровья, и необходимостью комплексного подхода к их решению, программа не разделяется на отдельные этапы. Мероприятия реализуются непрерывно и скоординировано на протяжен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ии всего срока действия программы (2025-2030 годы), обеспечивая синергетический эффект в достижении поставленных целей. Реализация программы поэтапно может привести к снижению ее эффективности и замедлению достижения целевых показателей.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        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                      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Планируемые мероприятия с точки зрения их направленности на достижение целей настоящей Программы, задают общее понимание концепции планируемых действий.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firstLine="70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Целевые показатели муниципальной Программы приведены в              приложении 1.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jc w:val="both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jc w:val="both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left="720" w:firstLine="0"/>
        <w:jc w:val="center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3. Перечень и краткое описание основных мероприятий 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59"/>
        <w:ind w:left="720" w:firstLine="0"/>
        <w:jc w:val="center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муниципальной программы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59"/>
        <w:ind w:left="720" w:firstLine="0"/>
        <w:jc w:val="center"/>
        <w:spacing w:before="0" w:beforeAutospacing="0" w:after="0" w:afterAutospacing="0" w:line="240" w:lineRule="auto"/>
        <w:tabs>
          <w:tab w:val="left" w:pos="0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Программа разработана для обеспечения к 2030 г.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увеличения доли граждан, ведущих здоровый образ жизни, за счет формирования среды, способствующей ведению гражданами здорового образа жизни, снижения распространения ХНИЗ и факторов риска их развития.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Перечень основных мероприятий Программы п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риведен в приложении 2.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6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6"/>
        <w:jc w:val="center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lang w:eastAsia="ru-RU"/>
        </w:rPr>
        <w:t xml:space="preserve">4. Обоснование ресурсного обеспечения 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46"/>
        <w:jc w:val="center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lang w:eastAsia="ru-RU"/>
        </w:rPr>
        <w:t xml:space="preserve">муниципальной программы</w:t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  <w:highlight w:val="none"/>
        </w:rPr>
      </w:r>
    </w:p>
    <w:p>
      <w:pPr>
        <w:jc w:val="center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69"/>
        <w:ind w:left="0" w:right="0" w:firstLine="709"/>
        <w:jc w:val="both"/>
        <w:spacing w:before="0" w:beforeAutospacing="0" w:after="0" w:afterAutospacing="0" w:line="240" w:lineRule="auto"/>
        <w:shd w:val="clear" w:color="auto" w:fill="auto"/>
        <w:rPr>
          <w:rFonts w:ascii="FreeSerif" w:hAnsi="FreeSerif" w:cs="FreeSerif"/>
          <w:color w:val="000000" w:themeColor="text1"/>
          <w:sz w:val="28"/>
          <w:szCs w:val="28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В целях реализации Программы финансирование предполагается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/>
        </w:rPr>
        <w:t xml:space="preserve">за  счет  средств   федерального, краевого и муниципального бюджета.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6"/>
        <w:ind w:right="0"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 w:bidi="he-IL"/>
        </w:rPr>
        <w:t xml:space="preserve">Главным распорядителем бюджетных средств  Программы является администрация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 w:bidi="he-IL"/>
        </w:rPr>
        <w:t xml:space="preserve">. 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ind w:left="0" w:right="0"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  <w:sz w:val="28"/>
          <w:szCs w:val="28"/>
          <w:highlight w:val="whit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Объемы финансирования Программы могут корректироваться в тече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ние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 w:bidi="he-IL"/>
        </w:rPr>
        <w:t xml:space="preserve">всего периода реализации мероприятий Программы.</w:t>
      </w:r>
      <w:r>
        <w:rPr>
          <w:rFonts w:ascii="FreeSerif" w:hAnsi="FreeSerif" w:cs="FreeSerif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white"/>
        </w:rPr>
      </w:r>
    </w:p>
    <w:p>
      <w:pPr>
        <w:pStyle w:val="946"/>
        <w:ind w:left="0" w:right="0" w:firstLine="709"/>
        <w:jc w:val="both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  <w:highlight w:val="white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/>
        </w:rPr>
        <w:t xml:space="preserve">Обоснование ресурсного обеспечения  Программы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white"/>
          <w:lang w:eastAsia="ru-RU"/>
        </w:rPr>
        <w:t xml:space="preserve"> приведены в   приложении 3.</w:t>
      </w:r>
      <w:r>
        <w:rPr>
          <w:rFonts w:ascii="FreeSerif" w:hAnsi="FreeSerif" w:cs="FreeSerif"/>
          <w:color w:val="000000" w:themeColor="text1"/>
          <w:sz w:val="28"/>
          <w:szCs w:val="28"/>
          <w:highlight w:val="whit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white"/>
        </w:rPr>
      </w:r>
    </w:p>
    <w:p>
      <w:pPr>
        <w:pStyle w:val="946"/>
        <w:jc w:val="both"/>
        <w:spacing w:before="0" w:after="0" w:afterAutospacing="0" w:line="240" w:lineRule="auto"/>
        <w:widowControl w:val="off"/>
        <w:tabs>
          <w:tab w:val="left" w:pos="284" w:leader="none"/>
          <w:tab w:val="clear" w:pos="708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5. Методика оценки эффективности реализации </w:t>
      </w:r>
      <w:r>
        <w:rPr>
          <w:rFonts w:ascii="FreeSerif" w:hAnsi="FreeSerif" w:cs="FreeSerif"/>
          <w:b/>
          <w:bCs/>
          <w:color w:val="000000" w:themeColor="text1"/>
        </w:rPr>
      </w:r>
      <w:r>
        <w:rPr>
          <w:rFonts w:ascii="FreeSerif" w:hAnsi="FreeSerif" w:cs="FreeSerif"/>
          <w:b/>
          <w:bCs/>
          <w:color w:val="000000" w:themeColor="text1"/>
        </w:rPr>
      </w:r>
    </w:p>
    <w:p>
      <w:pPr>
        <w:pStyle w:val="959"/>
        <w:jc w:val="center"/>
        <w:spacing w:before="0" w:beforeAutospacing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муниципальной программы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  <w:highlight w:val="none"/>
        </w:rPr>
      </w:r>
    </w:p>
    <w:p>
      <w:pPr>
        <w:pStyle w:val="95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b/>
          <w:bCs/>
          <w:color w:val="000000" w:themeColor="text1"/>
        </w:rPr>
      </w:r>
      <w:r>
        <w:rPr>
          <w:rFonts w:ascii="FreeSerif" w:hAnsi="FreeSerif" w:cs="FreeSerif"/>
          <w:b/>
          <w:bCs/>
          <w:color w:val="000000" w:themeColor="text1"/>
        </w:rPr>
      </w:r>
    </w:p>
    <w:p>
      <w:pPr>
        <w:pStyle w:val="968"/>
        <w:ind w:left="0" w:right="0" w:firstLine="709"/>
        <w:jc w:val="both"/>
        <w:spacing w:before="0" w:after="0" w:afterAutospacing="0" w:line="240" w:lineRule="auto"/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В соответствии с пунктом 1.11 Порядка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системы управления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муниципальными программами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муниципального о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б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разования 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Ленинградский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муниципальный округ 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Краснодарского к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  <w:lang w:val="ru-RU" w:eastAsia="ru-RU"/>
        </w:rPr>
        <w:t xml:space="preserve">рая</w:t>
      </w:r>
      <w:r>
        <w:rPr>
          <w:rFonts w:ascii="FreeSerif" w:hAnsi="FreeSerif" w:eastAsia="FreeSerif" w:cs="FreeSerif"/>
          <w:b w:val="0"/>
          <w:bCs w:val="0"/>
          <w:color w:val="000000" w:themeColor="text1"/>
          <w:sz w:val="28"/>
          <w:szCs w:val="28"/>
        </w:rPr>
        <w:t xml:space="preserve">, утвержденного постановлением администрации муниципального образования Ленинградский район от 10 декабря 2024 г. № 1352, координатором ежегодно проводится оценка эффективности реализации Программы.</w:t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  <w:r>
        <w:rPr>
          <w:rFonts w:ascii="FreeSerif" w:hAnsi="FreeSerif" w:cs="FreeSerif"/>
          <w:b w:val="0"/>
          <w:bCs w:val="0"/>
          <w:color w:val="000000" w:themeColor="text1"/>
          <w:sz w:val="28"/>
          <w:szCs w:val="28"/>
        </w:rPr>
      </w:r>
    </w:p>
    <w:p>
      <w:pPr>
        <w:pStyle w:val="946"/>
        <w:ind w:firstLine="709"/>
        <w:jc w:val="both"/>
        <w:spacing w:before="0" w:after="0" w:afterAutospacing="0" w:line="240" w:lineRule="auto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Основными критериями выполнения программы станут результаты реализации её основных мероприятий.                                     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46"/>
        <w:ind w:firstLine="709"/>
        <w:jc w:val="both"/>
        <w:spacing w:before="0" w:after="0" w:afterAutospacing="0" w:line="240" w:lineRule="auto"/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Кроме того, процесс выполнения программы может быть оценён по достижению плановых значений следующего целевого показателя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</w:r>
    </w:p>
    <w:p>
      <w:pPr>
        <w:pStyle w:val="946"/>
        <w:ind w:firstLine="709"/>
        <w:jc w:val="both"/>
        <w:spacing w:before="0" w:after="0" w:afterAutospacing="0" w:line="240" w:lineRule="auto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Методика оценки эффективности реализации Программы представлена в приложении 4.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59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6. Механизм реализации муниципальной программы и контроль </w:t>
      </w:r>
      <w:r>
        <w:rPr>
          <w:rFonts w:ascii="FreeSerif" w:hAnsi="FreeSerif" w:cs="FreeSerif"/>
          <w:b/>
          <w:bCs/>
          <w:color w:val="000000" w:themeColor="text1"/>
        </w:rPr>
      </w:r>
      <w:r>
        <w:rPr>
          <w:rFonts w:ascii="FreeSerif" w:hAnsi="FreeSerif" w:cs="FreeSerif"/>
          <w:b/>
          <w:bCs/>
          <w:color w:val="000000" w:themeColor="text1"/>
        </w:rPr>
      </w:r>
    </w:p>
    <w:p>
      <w:pPr>
        <w:pStyle w:val="959"/>
        <w:jc w:val="center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  <w:t xml:space="preserve">за ее выполнением</w:t>
      </w:r>
      <w:r>
        <w:rPr>
          <w:rFonts w:ascii="FreeSerif" w:hAnsi="FreeSerif" w:cs="FreeSerif"/>
          <w:b/>
          <w:bCs/>
          <w:color w:val="000000" w:themeColor="text1"/>
        </w:rPr>
      </w:r>
      <w:r>
        <w:rPr>
          <w:rFonts w:ascii="FreeSerif" w:hAnsi="FreeSerif" w:cs="FreeSerif"/>
          <w:b/>
          <w:bCs/>
          <w:color w:val="000000" w:themeColor="text1"/>
        </w:rPr>
      </w:r>
    </w:p>
    <w:p>
      <w:pPr>
        <w:pStyle w:val="959"/>
        <w:spacing w:before="0" w:beforeAutospacing="0" w:after="0" w:afterAutospacing="0" w:line="240" w:lineRule="auto"/>
        <w:rPr>
          <w:rFonts w:ascii="FreeSerif" w:hAnsi="FreeSerif" w:cs="FreeSerif"/>
          <w:b/>
          <w:bCs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  <w:r>
        <w:rPr>
          <w:rFonts w:ascii="FreeSerif" w:hAnsi="FreeSerif" w:cs="FreeSerif"/>
          <w:b/>
          <w:bCs/>
          <w:color w:val="000000" w:themeColor="text1"/>
          <w:sz w:val="28"/>
          <w:szCs w:val="28"/>
        </w:rPr>
      </w:r>
    </w:p>
    <w:p>
      <w:pPr>
        <w:pStyle w:val="946"/>
        <w:ind w:left="0" w:right="0" w:firstLine="709"/>
        <w:jc w:val="both"/>
        <w:spacing w:before="0" w:after="0" w:afterAutospacing="0" w:line="240" w:lineRule="auto"/>
        <w:widowControl w:val="off"/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Текущее управление муниципальной Программой осуществляет координатор Программы – заместитель главы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 (социальная политика). </w:t>
      </w:r>
      <w:r>
        <w:rPr>
          <w:rFonts w:ascii="FreeSerif" w:hAnsi="FreeSerif" w:cs="FreeSerif"/>
          <w:color w:val="000000" w:themeColor="text1"/>
        </w:rPr>
      </w:r>
    </w:p>
    <w:p>
      <w:pPr>
        <w:ind w:left="0" w:right="0"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Координатор в процессе реализации  Программы:</w:t>
      </w:r>
      <w:r>
        <w:rPr>
          <w:rFonts w:ascii="FreeSerif" w:hAnsi="FreeSerif" w:cs="FreeSerif"/>
          <w:color w:val="000000" w:themeColor="text1"/>
        </w:rPr>
      </w:r>
      <w:r/>
    </w:p>
    <w:p>
      <w:pPr>
        <w:pStyle w:val="946"/>
        <w:ind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принимает решение о внесении в установленном порядке изменений в  Программу и несет ответственность за достижение целевых показателей муниципальной программы;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46"/>
        <w:ind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обеспечивает разработку и реализацию  Программы;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46"/>
        <w:ind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проводит мониторинг реализации Программы;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46"/>
        <w:ind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ежеквартально предоставляет отчет о выполнении Программы в отдел экономики администрации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46"/>
        <w:ind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готовит  ежегодный доклад о ходе реализации Программы и оценке эффективности ее реализации;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46"/>
        <w:ind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организует  информационную и  разъяснительную работу, направленную 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46"/>
        <w:ind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на освещение целей и задач Программы;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46"/>
        <w:ind w:firstLine="709"/>
        <w:jc w:val="both"/>
        <w:spacing w:before="0" w:after="0" w:afterAutospacing="0" w:line="240" w:lineRule="auto"/>
        <w:widowControl w:val="off"/>
        <w:rPr>
          <w:rFonts w:ascii="FreeSerif" w:hAnsi="FreeSerif" w:cs="FreeSerif"/>
          <w:color w:val="000000" w:themeColor="text1"/>
        </w:rPr>
        <w:suppressLineNumbers w:val="0"/>
      </w:pPr>
      <w:r>
        <w:rPr>
          <w:rFonts w:ascii="FreeSerif" w:hAnsi="FreeSerif" w:eastAsia="FreeSerif" w:cs="FreeSerif"/>
          <w:color w:val="000000" w:themeColor="text1"/>
          <w:sz w:val="28"/>
          <w:szCs w:val="28"/>
          <w:lang w:eastAsia="ru-RU"/>
        </w:rPr>
        <w:t xml:space="preserve">осуществляет иные полномочия, установленные Программой.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59"/>
        <w:ind w:firstLine="708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При реализации мероприятий Программы, которые будут осуществляться участниками Программы, заказчиком выступает ад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министрация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и участвует в процедурах проведения закупок товаров (работ, услуг) в рамках полномочий, предусмотренных положением о контрактной службе администрации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.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В рамках и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с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highlight w:val="none"/>
        </w:rPr>
        <w:t xml:space="preserve">полнения мероприятий, заказчик организует закупку товаров, работ   и услуг в соответствии с Федеральным законом от 5 апреля 2013 г. № 44-ФЗ «О контрактной системе в сфере закупок товаров, работ, услуг для обеспечения государственных и муниципальных услуг».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pStyle w:val="959"/>
        <w:ind w:firstLine="708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Исполнители программы в процессе ее реализации: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firstLine="708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- осуществляют подготовку предложений координатору Программы по уточнению показателей, применяемых для оценки ее социально – экономической эффективности;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59"/>
        <w:ind w:firstLine="708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- несут персональную ответственность за реализацию мероприятия Программы по своему направлению.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pStyle w:val="959"/>
        <w:ind w:firstLine="708"/>
        <w:jc w:val="both"/>
        <w:spacing w:before="0" w:beforeAutospacing="0" w:after="0" w:afterAutospacing="0" w:line="240" w:lineRule="auto"/>
        <w:rPr>
          <w:rFonts w:ascii="FreeSerif" w:hAnsi="FreeSerif" w:cs="FreeSerif"/>
          <w:color w:val="000000" w:themeColor="text1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аместитель главы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(социальная политика), по итогам года отчитывается перед главой </w:t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о реализации мероприятий Программы и освоении выделенных финансовых средств.</w:t>
      </w:r>
      <w:r>
        <w:rPr>
          <w:rFonts w:ascii="FreeSerif" w:hAnsi="FreeSerif" w:cs="FreeSerif"/>
          <w:color w:val="000000" w:themeColor="text1"/>
        </w:rPr>
      </w:r>
      <w:r>
        <w:rPr>
          <w:rFonts w:ascii="FreeSerif" w:hAnsi="FreeSerif" w:cs="FreeSerif"/>
          <w:color w:val="000000" w:themeColor="text1"/>
        </w:rPr>
      </w:r>
    </w:p>
    <w:p>
      <w:pPr>
        <w:ind w:firstLine="5103"/>
        <w:spacing w:before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6"/>
        <w:ind w:firstLine="5103"/>
        <w:spacing w:before="0" w:after="0" w:afterAutospacing="0" w:line="240" w:lineRule="auto"/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6"/>
        <w:spacing w:before="0" w:after="0" w:afterAutospacing="0" w:line="240" w:lineRule="auto"/>
        <w:tabs>
          <w:tab w:val="clear" w:pos="708" w:leader="none"/>
          <w:tab w:val="left" w:pos="7655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Заместитель главы </w:t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p>
      <w:pPr>
        <w:pStyle w:val="946"/>
        <w:spacing w:before="0" w:after="0" w:afterAutospacing="0" w:line="240" w:lineRule="auto"/>
        <w:tabs>
          <w:tab w:val="clear" w:pos="708" w:leader="none"/>
          <w:tab w:val="left" w:pos="7655" w:leader="none"/>
        </w:tabs>
        <w:rPr>
          <w:rFonts w:ascii="FreeSerif" w:hAnsi="FreeSerif" w:cs="FreeSerif"/>
          <w:color w:val="000000" w:themeColor="text1"/>
          <w:sz w:val="28"/>
          <w:szCs w:val="28"/>
          <w:highlight w:val="none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eastAsia="FreeSerif" w:cs="FreeSerif"/>
          <w:color w:val="000000" w:themeColor="text1"/>
          <w:sz w:val="28"/>
          <w:szCs w:val="28"/>
          <w:lang w:val="ru-RU" w:eastAsia="ru-RU" w:bidi="ar-SA"/>
        </w:rPr>
        <w:t xml:space="preserve">Ленинградского 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муниципального округа</w:t>
      </w:r>
      <w:r>
        <w:rPr>
          <w:rFonts w:ascii="FreeSerif" w:hAnsi="FreeSerif" w:eastAsia="FreeSerif" w:cs="FreeSerif"/>
          <w:color w:val="000000" w:themeColor="text1"/>
          <w:sz w:val="28"/>
          <w:szCs w:val="28"/>
        </w:rPr>
        <w:t xml:space="preserve">                                         Ю.И. Мазурова</w:t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  <w:r>
        <w:rPr>
          <w:rFonts w:ascii="FreeSerif" w:hAnsi="FreeSerif" w:cs="FreeSerif"/>
          <w:color w:val="000000" w:themeColor="text1"/>
          <w:sz w:val="28"/>
          <w:szCs w:val="28"/>
          <w:highlight w:val="none"/>
        </w:rPr>
      </w:r>
    </w:p>
    <w:p>
      <w:pPr>
        <w:spacing w:before="0" w:after="0" w:afterAutospacing="0" w:line="240" w:lineRule="auto"/>
        <w:tabs>
          <w:tab w:val="clear" w:pos="708" w:leader="none"/>
          <w:tab w:val="left" w:pos="7655" w:leader="none"/>
        </w:tabs>
        <w:rPr>
          <w:rFonts w:ascii="FreeSerif" w:hAnsi="FreeSerif" w:cs="FreeSerif"/>
          <w:color w:val="000000" w:themeColor="text1"/>
          <w:sz w:val="28"/>
          <w:szCs w:val="28"/>
        </w:rPr>
      </w:pPr>
      <w:r>
        <w:rPr>
          <w:rFonts w:ascii="FreeSerif" w:hAnsi="FreeSerif" w:eastAsia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  <w:r>
        <w:rPr>
          <w:rFonts w:ascii="FreeSerif" w:hAnsi="FreeSerif" w:cs="FreeSerif"/>
          <w:color w:val="000000" w:themeColor="text1"/>
          <w:sz w:val="28"/>
          <w:szCs w:val="28"/>
        </w:rPr>
      </w:r>
    </w:p>
    <w:sectPr>
      <w:headerReference w:type="default" r:id="rId9"/>
      <w:headerReference w:type="first" r:id="rId10"/>
      <w:footerReference w:type="first" r:id="rId11"/>
      <w:footnotePr/>
      <w:endnotePr/>
      <w:type w:val="nextPage"/>
      <w:pgSz w:w="11906" w:h="16838" w:orient="portrait"/>
      <w:pgMar w:top="1134" w:right="680" w:bottom="1134" w:left="1701" w:header="0" w:footer="0" w:gutter="0"/>
      <w:cols w:num="1" w:sep="0" w:space="1701" w:equalWidth="1"/>
      <w:docGrid w:linePitch="36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</w:font>
  <w:font w:name="Symbol">
    <w:panose1 w:val="05010000000000000000"/>
  </w:font>
  <w:font w:name="Cambria">
    <w:panose1 w:val="02040503050406030204"/>
  </w:font>
  <w:font w:name="FreeSerif">
    <w:panose1 w:val="02020603050405020304"/>
  </w:font>
  <w:font w:name="Wingdings">
    <w:panose1 w:val="05010000000000000000"/>
  </w:font>
  <w:font w:name="Lucida Sans">
    <w:panose1 w:val="020B0603030804020204"/>
  </w:font>
  <w:font w:name="Liberation Sans">
    <w:panose1 w:val="020B0604020202020204"/>
  </w:font>
  <w:font w:name="Segoe UI">
    <w:panose1 w:val="020B0502040504020204"/>
  </w:font>
  <w:font w:name="Microsoft YaHei">
    <w:panose1 w:val="020B0503020203020204"/>
  </w:font>
  <w:font w:name="Times New Roman">
    <w:panose1 w:val="02020603050405020304"/>
  </w:font>
  <w:font w:name="Calibri">
    <w:panose1 w:val="020F0502020204030204"/>
  </w:font>
  <w:font w:name="Arial">
    <w:panose1 w:val="020B060402020202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64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63"/>
      <w:jc w:val="center"/>
    </w:pPr>
    <w:r>
      <w:rPr>
        <w:highlight w:val="none"/>
      </w:rPr>
    </w:r>
    <w:r>
      <w:rPr>
        <w:highlight w:val="none"/>
      </w:rPr>
    </w:r>
    <w:r/>
  </w:p>
  <w:p>
    <w:pPr>
      <w:pStyle w:val="963"/>
      <w:jc w:val="center"/>
      <w:rPr>
        <w:highlight w:val="none"/>
      </w:rPr>
    </w:pPr>
    <w:r>
      <w:rPr>
        <w:highlight w:val="none"/>
      </w:rPr>
    </w:r>
    <w:r>
      <w:rPr>
        <w:highlight w:val="none"/>
      </w:rPr>
    </w:r>
    <w:r>
      <w:rPr>
        <w:highlight w:val="none"/>
      </w:rPr>
    </w:r>
  </w:p>
  <w:p>
    <w:pPr>
      <w:pStyle w:val="963"/>
      <w:jc w:val="center"/>
      <w:rPr>
        <w:rFonts w:ascii="FreeSerif" w:hAnsi="FreeSerif" w:cs="FreeSerif"/>
        <w:sz w:val="24"/>
        <w:szCs w:val="24"/>
        <w:highlight w:val="none"/>
      </w:rPr>
    </w:pPr>
    <w:fldSimple w:instr="PAGE \* MERGEFORMAT">
      <w:r>
        <w:rPr>
          <w:rFonts w:ascii="FreeSerif" w:hAnsi="FreeSerif" w:eastAsia="FreeSerif" w:cs="FreeSerif"/>
          <w:sz w:val="24"/>
          <w:szCs w:val="24"/>
        </w:rPr>
        <w:t xml:space="preserve">1</w:t>
      </w:r>
    </w:fldSimple>
    <w:r>
      <w:rPr>
        <w:rFonts w:ascii="FreeSerif" w:hAnsi="FreeSerif" w:eastAsia="FreeSerif" w:cs="FreeSerif"/>
        <w:sz w:val="24"/>
        <w:szCs w:val="24"/>
      </w:rPr>
    </w:r>
    <w:r>
      <w:rPr>
        <w:rFonts w:ascii="FreeSerif" w:hAnsi="FreeSerif" w:cs="FreeSerif"/>
        <w:sz w:val="24"/>
        <w:szCs w:val="24"/>
        <w:highlight w:val="none"/>
      </w:rPr>
    </w:r>
    <w:r>
      <w:rPr>
        <w:rFonts w:ascii="FreeSerif" w:hAnsi="FreeSerif" w:cs="FreeSerif"/>
        <w:sz w:val="24"/>
        <w:szCs w:val="24"/>
        <w:highlight w:val="none"/>
      </w:rPr>
    </w:r>
  </w:p>
  <w:p>
    <w:pPr>
      <w:pStyle w:val="963"/>
    </w:pPr>
    <w:r/>
    <w:r/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p>
    <w:pPr>
      <w:pStyle w:val="963"/>
    </w:pPr>
    <w:r/>
    <w:r/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0" w:leader="none"/>
        </w:tabs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  <w:tabs>
          <w:tab w:val="num" w:pos="0" w:leader="none"/>
        </w:tabs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  <w:tabs>
          <w:tab w:val="num" w:pos="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0" w:leader="none"/>
        </w:tabs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  <w:tabs>
          <w:tab w:val="num" w:pos="0" w:leader="none"/>
        </w:tabs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  <w:tabs>
          <w:tab w:val="num" w:pos="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0" w:leader="none"/>
        </w:tabs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  <w:tabs>
          <w:tab w:val="num" w:pos="0" w:leader="none"/>
        </w:tabs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  <w:tabs>
          <w:tab w:val="num" w:pos="0" w:leader="none"/>
        </w:tabs>
      </w:pPr>
    </w:lvl>
  </w:abstractNum>
  <w:abstractNum w:abstractNumId="1">
    <w:multiLevelType w:val="hybridMultilevel"/>
    <w:lvl w:ilvl="0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1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2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3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4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5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6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7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  <w:lvl w:ilvl="8">
      <w:start w:val="1"/>
      <w:numFmt w:val="none"/>
      <w:isLgl w:val="false"/>
      <w:suff w:val="nothing"/>
      <w:lvlText w:val=""/>
      <w:lvlJc w:val="left"/>
      <w:pPr>
        <w:ind w:left="0" w:firstLine="0"/>
        <w:tabs>
          <w:tab w:val="num" w:pos="0" w:leader="none"/>
        </w:tabs>
      </w:pPr>
    </w:lvl>
  </w:abstractNum>
  <w:abstractNum w:abstractNumId="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0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2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6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8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2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4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69" w:hanging="180"/>
      </w:pPr>
    </w:lvl>
  </w:abstractNum>
  <w:abstractNum w:abstractNumId="3">
    <w:multiLevelType w:val="hybridMultilevel"/>
    <w:lvl w:ilvl="0">
      <w:start w:val="1"/>
      <w:numFmt w:val="decimal"/>
      <w:isLgl w:val="false"/>
      <w:suff w:val="tab"/>
      <w:lvlText w:val="%1.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%1.%2.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4">
    <w:multiLevelType w:val="hybridMultilevel"/>
    <w:lvl w:ilvl="0">
      <w:start w:val="2018"/>
      <w:numFmt w:val="decimal"/>
      <w:isLgl w:val="false"/>
      <w:suff w:val="tab"/>
      <w:lvlText w:val="%1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5">
    <w:multiLevelType w:val="hybridMultilevel"/>
    <w:lvl w:ilvl="0">
      <w:start w:val="2018"/>
      <w:numFmt w:val="decimal"/>
      <w:isLgl w:val="false"/>
      <w:suff w:val="tab"/>
      <w:lvlText w:val="%1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6">
    <w:multiLevelType w:val="hybridMultilevel"/>
    <w:lvl w:ilvl="0">
      <w:start w:val="1"/>
      <w:numFmt w:val="bullet"/>
      <w:isLgl w:val="false"/>
      <w:suff w:val="tab"/>
      <w:lvlText w:val="-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7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ascii="Arial" w:hAnsi="Arial" w:eastAsia="Arial" w:cs="Aria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8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ascii="Arial" w:hAnsi="Arial" w:eastAsia="Arial" w:cs="Aria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9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ascii="Arial" w:hAnsi="Arial" w:eastAsia="Arial" w:cs="Aria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0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1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2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3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4">
    <w:multiLevelType w:val="hybridMultilevel"/>
    <w:lvl w:ilvl="0">
      <w:start w:val="1"/>
      <w:numFmt w:val="decimal"/>
      <w:isLgl w:val="false"/>
      <w:suff w:val="tab"/>
      <w:lvlText w:val="%1."/>
      <w:lvlJc w:val="right"/>
      <w:pPr>
        <w:ind w:left="709" w:hanging="360"/>
      </w:pPr>
      <w:rPr>
        <w:rFonts w:ascii="Arial" w:hAnsi="Arial" w:eastAsia="Arial" w:cs="Arial"/>
        <w:color w:val="212529"/>
        <w:sz w:val="24"/>
      </w:rPr>
    </w:lvl>
    <w:lvl w:ilvl="1">
      <w:start w:val="1"/>
      <w:numFmt w:val="decimal"/>
      <w:isLgl w:val="false"/>
      <w:suff w:val="tab"/>
      <w:lvlText w:val="%2."/>
      <w:lvlJc w:val="right"/>
      <w:pPr>
        <w:ind w:left="1429" w:hanging="360"/>
      </w:pPr>
    </w:lvl>
    <w:lvl w:ilvl="2">
      <w:start w:val="1"/>
      <w:numFmt w:val="decimal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right"/>
      <w:pPr>
        <w:ind w:left="2869" w:hanging="360"/>
      </w:pPr>
    </w:lvl>
    <w:lvl w:ilvl="4">
      <w:start w:val="1"/>
      <w:numFmt w:val="decimal"/>
      <w:isLgl w:val="false"/>
      <w:suff w:val="tab"/>
      <w:lvlText w:val="%5."/>
      <w:lvlJc w:val="right"/>
      <w:pPr>
        <w:ind w:left="3589" w:hanging="360"/>
      </w:pPr>
    </w:lvl>
    <w:lvl w:ilvl="5">
      <w:start w:val="1"/>
      <w:numFmt w:val="decimal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right"/>
      <w:pPr>
        <w:ind w:left="5029" w:hanging="360"/>
      </w:pPr>
    </w:lvl>
    <w:lvl w:ilvl="7">
      <w:start w:val="1"/>
      <w:numFmt w:val="decimal"/>
      <w:isLgl w:val="false"/>
      <w:suff w:val="tab"/>
      <w:lvlText w:val="%8."/>
      <w:lvlJc w:val="right"/>
      <w:pPr>
        <w:ind w:left="5749" w:hanging="360"/>
      </w:pPr>
    </w:lvl>
    <w:lvl w:ilvl="8">
      <w:start w:val="1"/>
      <w:numFmt w:val="decimal"/>
      <w:isLgl w:val="false"/>
      <w:suff w:val="tab"/>
      <w:lvlText w:val="%9."/>
      <w:lvlJc w:val="right"/>
      <w:pPr>
        <w:ind w:left="6469" w:hanging="180"/>
      </w:pPr>
    </w:lvl>
  </w:abstractNum>
  <w:abstractNum w:abstractNumId="15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hint="default" w:ascii="Arial" w:hAnsi="Arial" w:eastAsia="Arial" w:cs="Arial"/>
      </w:rPr>
    </w:lvl>
    <w:lvl w:ilvl="1">
      <w:start w:val="1"/>
      <w:numFmt w:val="bullet"/>
      <w:isLgl w:val="false"/>
      <w:suff w:val="tab"/>
      <w:lvlText w:val="o"/>
      <w:lvlJc w:val="left"/>
      <w:pPr>
        <w:ind w:left="1429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49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589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09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49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69" w:hanging="360"/>
      </w:pPr>
      <w:rPr>
        <w:rFonts w:hint="default" w:ascii="Wingdings" w:hAnsi="Wingdings" w:eastAsia="Wingdings" w:cs="Wingdings"/>
      </w:rPr>
    </w:lvl>
  </w:abstractNum>
  <w:abstractNum w:abstractNumId="16">
    <w:multiLevelType w:val="hybridMultilevel"/>
    <w:lvl w:ilvl="0">
      <w:start w:val="1"/>
      <w:numFmt w:val="bullet"/>
      <w:isLgl w:val="false"/>
      <w:suff w:val="tab"/>
      <w:lvlText w:val="-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17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ascii="Arial" w:hAnsi="Arial" w:eastAsia="Arial" w:cs="Arial"/>
        <w:b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18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ascii="Arial" w:hAnsi="Arial" w:eastAsia="Arial" w:cs="Arial"/>
        <w:color w:val="212529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</w:rPr>
    </w:lvl>
  </w:abstractNum>
  <w:abstractNum w:abstractNumId="19">
    <w:multiLevelType w:val="hybridMultilevel"/>
    <w:lvl w:ilvl="0">
      <w:start w:val="1"/>
      <w:numFmt w:val="bullet"/>
      <w:isLgl w:val="false"/>
      <w:suff w:val="tab"/>
      <w:lvlText w:val="-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2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2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2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09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2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4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6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58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0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2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4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69" w:hanging="180"/>
      </w:pPr>
    </w:lvl>
  </w:abstractNum>
  <w:abstractNum w:abstractNumId="23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24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25">
    <w:multiLevelType w:val="hybridMultilevel"/>
    <w:lvl w:ilvl="0">
      <w:start w:val="1"/>
      <w:numFmt w:val="decimal"/>
      <w:isLgl w:val="false"/>
      <w:suff w:val="tab"/>
      <w:lvlText w:val="%1.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none"/>
      <w:isLgl w:val="false"/>
      <w:suff w:val="tab"/>
      <w:lvlText w:val=""/>
      <w:lvlJc w:val="left"/>
      <w:pPr>
        <w:tabs>
          <w:tab w:val="num" w:pos="360" w:leader="none"/>
        </w:tabs>
      </w:pPr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26">
    <w:multiLevelType w:val="hybridMultilevel"/>
    <w:lvl w:ilvl="0">
      <w:start w:val="1"/>
      <w:numFmt w:val="bullet"/>
      <w:isLgl w:val="false"/>
      <w:suff w:val="tab"/>
      <w:lvlText w:val="-"/>
      <w:lvlJc w:val="left"/>
      <w:pPr/>
      <w:rPr>
        <w:rFonts w:ascii="Times New Roman" w:hAnsi="Times New Roman" w:eastAsia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position w:val="0"/>
        <w:sz w:val="25"/>
        <w:szCs w:val="25"/>
        <w:u w:val="none"/>
        <w:lang w:val="ru-RU"/>
      </w:rPr>
    </w:lvl>
    <w:lvl w:ilvl="1">
      <w:start w:val="1"/>
      <w:numFmt w:val="decimal"/>
      <w:isLgl w:val="false"/>
      <w:suff w:val="tab"/>
      <w:lvlText w:val=""/>
      <w:lvlJc w:val="left"/>
      <w:pPr/>
    </w:lvl>
    <w:lvl w:ilvl="2">
      <w:start w:val="1"/>
      <w:numFmt w:val="decimal"/>
      <w:isLgl w:val="false"/>
      <w:suff w:val="tab"/>
      <w:lvlText w:val=""/>
      <w:lvlJc w:val="left"/>
      <w:pPr/>
    </w:lvl>
    <w:lvl w:ilvl="3">
      <w:start w:val="1"/>
      <w:numFmt w:val="decimal"/>
      <w:isLgl w:val="false"/>
      <w:suff w:val="tab"/>
      <w:lvlText w:val=""/>
      <w:lvlJc w:val="left"/>
      <w:pPr/>
    </w:lvl>
    <w:lvl w:ilvl="4">
      <w:start w:val="1"/>
      <w:numFmt w:val="decimal"/>
      <w:isLgl w:val="false"/>
      <w:suff w:val="tab"/>
      <w:lvlText w:val=""/>
      <w:lvlJc w:val="left"/>
      <w:pPr/>
    </w:lvl>
    <w:lvl w:ilvl="5">
      <w:start w:val="1"/>
      <w:numFmt w:val="decimal"/>
      <w:isLgl w:val="false"/>
      <w:suff w:val="tab"/>
      <w:lvlText w:val=""/>
      <w:lvlJc w:val="left"/>
      <w:pPr/>
    </w:lvl>
    <w:lvl w:ilvl="6">
      <w:start w:val="1"/>
      <w:numFmt w:val="decimal"/>
      <w:isLgl w:val="false"/>
      <w:suff w:val="tab"/>
      <w:lvlText w:val=""/>
      <w:lvlJc w:val="left"/>
      <w:pPr/>
    </w:lvl>
    <w:lvl w:ilvl="7">
      <w:start w:val="1"/>
      <w:numFmt w:val="decimal"/>
      <w:isLgl w:val="false"/>
      <w:suff w:val="tab"/>
      <w:lvlText w:val=""/>
      <w:lvlJc w:val="left"/>
      <w:pPr/>
    </w:lvl>
    <w:lvl w:ilvl="8">
      <w:start w:val="1"/>
      <w:numFmt w:val="decimal"/>
      <w:isLgl w:val="false"/>
      <w:suff w:val="tab"/>
      <w:lvlText w:val=""/>
      <w:lvlJc w:val="left"/>
      <w:pPr/>
    </w:lvl>
  </w:abstractNum>
  <w:abstractNum w:abstractNumId="27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20" w:hanging="360"/>
      </w:pPr>
      <w:rPr>
        <w:rFonts w:ascii="Arial" w:hAnsi="Arial" w:eastAsia="Arial" w:cs="Aria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8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20" w:hanging="360"/>
      </w:pPr>
      <w:rPr>
        <w:rFonts w:ascii="Arial" w:hAnsi="Arial" w:eastAsia="Arial" w:cs="Aria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9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20" w:hanging="360"/>
      </w:pPr>
      <w:rPr>
        <w:rFonts w:ascii="Arial" w:hAnsi="Arial" w:eastAsia="Arial" w:cs="Aria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30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31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</w:rPr>
    </w:lvl>
  </w:abstractNum>
  <w:abstractNum w:abstractNumId="32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</w:rPr>
    </w:lvl>
  </w:abstractNum>
  <w:abstractNum w:abstractNumId="33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ascii="Arial" w:hAnsi="Arial" w:eastAsia="Arial" w:cs="Aria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34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  <w:color w:val="212529"/>
        <w:sz w:val="24"/>
      </w:rPr>
    </w:lvl>
    <w:lvl w:ilvl="1">
      <w:start w:val="1"/>
      <w:numFmt w:val="bullet"/>
      <w:isLgl w:val="false"/>
      <w:suff w:val="tab"/>
      <w:lvlText w:val="·"/>
      <w:lvlJc w:val="left"/>
      <w:pPr>
        <w:ind w:left="1429" w:hanging="360"/>
      </w:pPr>
      <w:rPr>
        <w:rFonts w:hint="default" w:ascii="Symbol" w:hAnsi="Symbol" w:eastAsia="Symbol" w:cs="Symbol"/>
        <w:color w:val="212529"/>
        <w:sz w:val="24"/>
      </w:rPr>
    </w:lvl>
    <w:lvl w:ilvl="2">
      <w:start w:val="1"/>
      <w:numFmt w:val="bullet"/>
      <w:isLgl w:val="false"/>
      <w:suff w:val="tab"/>
      <w:lvlText w:val="·"/>
      <w:lvlJc w:val="left"/>
      <w:pPr>
        <w:ind w:left="2149" w:hanging="360"/>
      </w:pPr>
      <w:rPr>
        <w:rFonts w:hint="default" w:ascii="Symbol" w:hAnsi="Symbol" w:eastAsia="Symbol" w:cs="Symbol"/>
        <w:color w:val="212529"/>
        <w:sz w:val="24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  <w:color w:val="212529"/>
        <w:sz w:val="24"/>
      </w:rPr>
    </w:lvl>
    <w:lvl w:ilvl="4">
      <w:start w:val="1"/>
      <w:numFmt w:val="bullet"/>
      <w:isLgl w:val="false"/>
      <w:suff w:val="tab"/>
      <w:lvlText w:val="·"/>
      <w:lvlJc w:val="left"/>
      <w:pPr>
        <w:ind w:left="3589" w:hanging="360"/>
      </w:pPr>
      <w:rPr>
        <w:rFonts w:hint="default" w:ascii="Symbol" w:hAnsi="Symbol" w:eastAsia="Symbol" w:cs="Symbol"/>
        <w:color w:val="212529"/>
        <w:sz w:val="24"/>
      </w:rPr>
    </w:lvl>
    <w:lvl w:ilvl="5">
      <w:start w:val="1"/>
      <w:numFmt w:val="bullet"/>
      <w:isLgl w:val="false"/>
      <w:suff w:val="tab"/>
      <w:lvlText w:val="·"/>
      <w:lvlJc w:val="left"/>
      <w:pPr>
        <w:ind w:left="4309" w:hanging="360"/>
      </w:pPr>
      <w:rPr>
        <w:rFonts w:hint="default" w:ascii="Symbol" w:hAnsi="Symbol" w:eastAsia="Symbol" w:cs="Symbol"/>
        <w:color w:val="212529"/>
        <w:sz w:val="24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  <w:color w:val="212529"/>
        <w:sz w:val="24"/>
      </w:rPr>
    </w:lvl>
    <w:lvl w:ilvl="7">
      <w:start w:val="1"/>
      <w:numFmt w:val="bullet"/>
      <w:isLgl w:val="false"/>
      <w:suff w:val="tab"/>
      <w:lvlText w:val="·"/>
      <w:lvlJc w:val="left"/>
      <w:pPr>
        <w:ind w:left="5749" w:hanging="360"/>
      </w:pPr>
      <w:rPr>
        <w:rFonts w:hint="default" w:ascii="Symbol" w:hAnsi="Symbol" w:eastAsia="Symbol" w:cs="Symbol"/>
        <w:color w:val="212529"/>
        <w:sz w:val="24"/>
      </w:rPr>
    </w:lvl>
    <w:lvl w:ilvl="8">
      <w:start w:val="1"/>
      <w:numFmt w:val="bullet"/>
      <w:isLgl w:val="false"/>
      <w:suff w:val="tab"/>
      <w:lvlText w:val="·"/>
      <w:lvlJc w:val="left"/>
      <w:pPr>
        <w:ind w:left="6469" w:hanging="360"/>
      </w:pPr>
      <w:rPr>
        <w:rFonts w:hint="default" w:ascii="Symbol" w:hAnsi="Symbol" w:eastAsia="Symbol" w:cs="Symbol"/>
        <w:color w:val="212529"/>
        <w:sz w:val="24"/>
      </w:rPr>
    </w:lvl>
  </w:abstractNum>
  <w:abstractNum w:abstractNumId="35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hint="default" w:ascii="Arial" w:hAnsi="Arial" w:eastAsia="Arial" w:cs="Arial"/>
      </w:rPr>
    </w:lvl>
    <w:lvl w:ilvl="1">
      <w:start w:val="1"/>
      <w:numFmt w:val="bullet"/>
      <w:isLgl w:val="false"/>
      <w:suff w:val="tab"/>
      <w:lvlText w:val="o"/>
      <w:lvlJc w:val="left"/>
      <w:pPr>
        <w:ind w:left="1429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49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589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09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49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69" w:hanging="360"/>
      </w:pPr>
      <w:rPr>
        <w:rFonts w:hint="default" w:ascii="Wingdings" w:hAnsi="Wingdings" w:eastAsia="Wingdings" w:cs="Wingdings"/>
      </w:rPr>
    </w:lvl>
  </w:abstractNum>
  <w:abstractNum w:abstractNumId="36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29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49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589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09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49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69" w:hanging="360"/>
      </w:pPr>
      <w:rPr>
        <w:rFonts w:hint="default" w:ascii="Wingdings" w:hAnsi="Wingdings" w:eastAsia="Wingdings" w:cs="Wingdings"/>
      </w:rPr>
    </w:lvl>
  </w:abstractNum>
  <w:abstractNum w:abstractNumId="37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20" w:hanging="360"/>
      </w:pPr>
      <w:rPr>
        <w:rFonts w:ascii="Arial" w:hAnsi="Arial" w:eastAsia="Arial" w:cs="Arial"/>
        <w:color w:val="212529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38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09" w:hanging="360"/>
      </w:pPr>
      <w:rPr>
        <w:rFonts w:ascii="Arial" w:hAnsi="Arial" w:eastAsia="Arial" w:cs="Arial"/>
        <w:color w:val="212529"/>
      </w:rPr>
    </w:lvl>
    <w:lvl w:ilvl="1">
      <w:start w:val="1"/>
      <w:numFmt w:val="bullet"/>
      <w:isLgl w:val="false"/>
      <w:suff w:val="tab"/>
      <w:lvlText w:val="o"/>
      <w:lvlJc w:val="left"/>
      <w:pPr>
        <w:ind w:left="1429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49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589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09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49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69" w:hanging="360"/>
      </w:pPr>
      <w:rPr>
        <w:rFonts w:hint="default" w:ascii="Wingdings" w:hAnsi="Wingdings" w:eastAsia="Wingdings" w:cs="Wingdings"/>
      </w:rPr>
    </w:lvl>
  </w:abstractNum>
  <w:abstractNum w:abstractNumId="39">
    <w:multiLevelType w:val="hybridMultilevel"/>
    <w:lvl w:ilvl="0">
      <w:start w:val="1"/>
      <w:numFmt w:val="bullet"/>
      <w:isLgl w:val="false"/>
      <w:suff w:val="tab"/>
      <w:lvlText w:val="–"/>
      <w:lvlJc w:val="left"/>
      <w:pPr>
        <w:ind w:left="720" w:hanging="360"/>
      </w:pPr>
      <w:rPr>
        <w:rFonts w:ascii="Arial" w:hAnsi="Arial" w:eastAsia="Arial" w:cs="Arial"/>
        <w:color w:val="212529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3"/>
  </w:num>
  <w:num w:numId="25">
    <w:abstractNumId w:val="24"/>
  </w:num>
  <w:num w:numId="26">
    <w:abstractNumId w:val="25"/>
  </w:num>
  <w:num w:numId="27">
    <w:abstractNumId w:val="26"/>
  </w:num>
  <w:num w:numId="28">
    <w:abstractNumId w:val="27"/>
  </w:num>
  <w:num w:numId="29">
    <w:abstractNumId w:val="28"/>
  </w:num>
  <w:num w:numId="30">
    <w:abstractNumId w:val="29"/>
  </w:num>
  <w:num w:numId="31">
    <w:abstractNumId w:val="30"/>
  </w:num>
  <w:num w:numId="32">
    <w:abstractNumId w:val="31"/>
  </w:num>
  <w:num w:numId="33">
    <w:abstractNumId w:val="32"/>
  </w:num>
  <w:num w:numId="34">
    <w:abstractNumId w:val="33"/>
  </w:num>
  <w:num w:numId="35">
    <w:abstractNumId w:val="34"/>
  </w:num>
  <w:num w:numId="36">
    <w:abstractNumId w:val="35"/>
  </w:num>
  <w:num w:numId="37">
    <w:abstractNumId w:val="36"/>
  </w:num>
  <w:num w:numId="38">
    <w:abstractNumId w:val="37"/>
  </w:num>
  <w:num w:numId="39">
    <w:abstractNumId w:val="38"/>
  </w:num>
  <w:num w:numId="40">
    <w:abstractNumId w:val="3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567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774">
    <w:name w:val="Heading 1"/>
    <w:basedOn w:val="946"/>
    <w:next w:val="946"/>
    <w:link w:val="775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775">
    <w:name w:val="Heading 1 Char"/>
    <w:basedOn w:val="947"/>
    <w:link w:val="774"/>
    <w:uiPriority w:val="9"/>
    <w:rPr>
      <w:rFonts w:ascii="Arial" w:hAnsi="Arial" w:eastAsia="Arial" w:cs="Arial"/>
      <w:sz w:val="40"/>
      <w:szCs w:val="40"/>
    </w:rPr>
  </w:style>
  <w:style w:type="paragraph" w:styleId="776">
    <w:name w:val="Heading 2"/>
    <w:basedOn w:val="946"/>
    <w:next w:val="946"/>
    <w:link w:val="777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777">
    <w:name w:val="Heading 2 Char"/>
    <w:basedOn w:val="947"/>
    <w:link w:val="776"/>
    <w:uiPriority w:val="9"/>
    <w:rPr>
      <w:rFonts w:ascii="Arial" w:hAnsi="Arial" w:eastAsia="Arial" w:cs="Arial"/>
      <w:sz w:val="34"/>
    </w:rPr>
  </w:style>
  <w:style w:type="paragraph" w:styleId="778">
    <w:name w:val="Heading 3"/>
    <w:basedOn w:val="946"/>
    <w:next w:val="946"/>
    <w:link w:val="779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779">
    <w:name w:val="Heading 3 Char"/>
    <w:basedOn w:val="947"/>
    <w:link w:val="778"/>
    <w:uiPriority w:val="9"/>
    <w:rPr>
      <w:rFonts w:ascii="Arial" w:hAnsi="Arial" w:eastAsia="Arial" w:cs="Arial"/>
      <w:sz w:val="30"/>
      <w:szCs w:val="30"/>
    </w:rPr>
  </w:style>
  <w:style w:type="paragraph" w:styleId="780">
    <w:name w:val="Heading 4"/>
    <w:basedOn w:val="946"/>
    <w:next w:val="946"/>
    <w:link w:val="781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781">
    <w:name w:val="Heading 4 Char"/>
    <w:basedOn w:val="947"/>
    <w:link w:val="780"/>
    <w:uiPriority w:val="9"/>
    <w:rPr>
      <w:rFonts w:ascii="Arial" w:hAnsi="Arial" w:eastAsia="Arial" w:cs="Arial"/>
      <w:b/>
      <w:bCs/>
      <w:sz w:val="26"/>
      <w:szCs w:val="26"/>
    </w:rPr>
  </w:style>
  <w:style w:type="paragraph" w:styleId="782">
    <w:name w:val="Heading 5"/>
    <w:basedOn w:val="946"/>
    <w:next w:val="946"/>
    <w:link w:val="783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783">
    <w:name w:val="Heading 5 Char"/>
    <w:basedOn w:val="947"/>
    <w:link w:val="782"/>
    <w:uiPriority w:val="9"/>
    <w:rPr>
      <w:rFonts w:ascii="Arial" w:hAnsi="Arial" w:eastAsia="Arial" w:cs="Arial"/>
      <w:b/>
      <w:bCs/>
      <w:sz w:val="24"/>
      <w:szCs w:val="24"/>
    </w:rPr>
  </w:style>
  <w:style w:type="paragraph" w:styleId="784">
    <w:name w:val="Heading 6"/>
    <w:basedOn w:val="946"/>
    <w:next w:val="946"/>
    <w:link w:val="785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785">
    <w:name w:val="Heading 6 Char"/>
    <w:basedOn w:val="947"/>
    <w:link w:val="784"/>
    <w:uiPriority w:val="9"/>
    <w:rPr>
      <w:rFonts w:ascii="Arial" w:hAnsi="Arial" w:eastAsia="Arial" w:cs="Arial"/>
      <w:b/>
      <w:bCs/>
      <w:sz w:val="22"/>
      <w:szCs w:val="22"/>
    </w:rPr>
  </w:style>
  <w:style w:type="paragraph" w:styleId="786">
    <w:name w:val="Heading 7"/>
    <w:basedOn w:val="946"/>
    <w:next w:val="946"/>
    <w:link w:val="787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787">
    <w:name w:val="Heading 7 Char"/>
    <w:basedOn w:val="947"/>
    <w:link w:val="786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788">
    <w:name w:val="Heading 8"/>
    <w:basedOn w:val="946"/>
    <w:next w:val="946"/>
    <w:link w:val="789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789">
    <w:name w:val="Heading 8 Char"/>
    <w:basedOn w:val="947"/>
    <w:link w:val="788"/>
    <w:uiPriority w:val="9"/>
    <w:rPr>
      <w:rFonts w:ascii="Arial" w:hAnsi="Arial" w:eastAsia="Arial" w:cs="Arial"/>
      <w:i/>
      <w:iCs/>
      <w:sz w:val="22"/>
      <w:szCs w:val="22"/>
    </w:rPr>
  </w:style>
  <w:style w:type="paragraph" w:styleId="790">
    <w:name w:val="Heading 9"/>
    <w:basedOn w:val="946"/>
    <w:next w:val="946"/>
    <w:link w:val="791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791">
    <w:name w:val="Heading 9 Char"/>
    <w:basedOn w:val="947"/>
    <w:link w:val="790"/>
    <w:uiPriority w:val="9"/>
    <w:rPr>
      <w:rFonts w:ascii="Arial" w:hAnsi="Arial" w:eastAsia="Arial" w:cs="Arial"/>
      <w:i/>
      <w:iCs/>
      <w:sz w:val="21"/>
      <w:szCs w:val="21"/>
    </w:rPr>
  </w:style>
  <w:style w:type="paragraph" w:styleId="792">
    <w:name w:val="No Spacing"/>
    <w:uiPriority w:val="1"/>
    <w:qFormat/>
    <w:pPr>
      <w:spacing w:before="0" w:after="0" w:line="240" w:lineRule="auto"/>
    </w:pPr>
  </w:style>
  <w:style w:type="paragraph" w:styleId="793">
    <w:name w:val="Title"/>
    <w:basedOn w:val="946"/>
    <w:next w:val="946"/>
    <w:link w:val="794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794">
    <w:name w:val="Title Char"/>
    <w:basedOn w:val="947"/>
    <w:link w:val="793"/>
    <w:uiPriority w:val="10"/>
    <w:rPr>
      <w:sz w:val="48"/>
      <w:szCs w:val="48"/>
    </w:rPr>
  </w:style>
  <w:style w:type="paragraph" w:styleId="795">
    <w:name w:val="Subtitle"/>
    <w:basedOn w:val="946"/>
    <w:next w:val="946"/>
    <w:link w:val="796"/>
    <w:uiPriority w:val="11"/>
    <w:qFormat/>
    <w:pPr>
      <w:spacing w:before="200" w:after="200"/>
    </w:pPr>
    <w:rPr>
      <w:sz w:val="24"/>
      <w:szCs w:val="24"/>
    </w:rPr>
  </w:style>
  <w:style w:type="character" w:styleId="796">
    <w:name w:val="Subtitle Char"/>
    <w:basedOn w:val="947"/>
    <w:link w:val="795"/>
    <w:uiPriority w:val="11"/>
    <w:rPr>
      <w:sz w:val="24"/>
      <w:szCs w:val="24"/>
    </w:rPr>
  </w:style>
  <w:style w:type="paragraph" w:styleId="797">
    <w:name w:val="Quote"/>
    <w:basedOn w:val="946"/>
    <w:next w:val="946"/>
    <w:link w:val="798"/>
    <w:uiPriority w:val="29"/>
    <w:qFormat/>
    <w:pPr>
      <w:ind w:left="720" w:right="720"/>
    </w:pPr>
    <w:rPr>
      <w:i/>
    </w:rPr>
  </w:style>
  <w:style w:type="character" w:styleId="798">
    <w:name w:val="Quote Char"/>
    <w:link w:val="797"/>
    <w:uiPriority w:val="29"/>
    <w:rPr>
      <w:i/>
    </w:rPr>
  </w:style>
  <w:style w:type="paragraph" w:styleId="799">
    <w:name w:val="Intense Quote"/>
    <w:basedOn w:val="946"/>
    <w:next w:val="946"/>
    <w:link w:val="800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800">
    <w:name w:val="Intense Quote Char"/>
    <w:link w:val="799"/>
    <w:uiPriority w:val="30"/>
    <w:rPr>
      <w:i/>
    </w:rPr>
  </w:style>
  <w:style w:type="character" w:styleId="801">
    <w:name w:val="Header Char"/>
    <w:basedOn w:val="947"/>
    <w:link w:val="963"/>
    <w:uiPriority w:val="99"/>
  </w:style>
  <w:style w:type="character" w:styleId="802">
    <w:name w:val="Footer Char"/>
    <w:basedOn w:val="947"/>
    <w:link w:val="964"/>
    <w:uiPriority w:val="99"/>
  </w:style>
  <w:style w:type="character" w:styleId="803">
    <w:name w:val="Caption Char"/>
    <w:basedOn w:val="956"/>
    <w:link w:val="964"/>
    <w:uiPriority w:val="99"/>
  </w:style>
  <w:style w:type="table" w:styleId="804">
    <w:name w:val="Table Grid Light"/>
    <w:basedOn w:val="966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805">
    <w:name w:val="Plain Table 1"/>
    <w:basedOn w:val="966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806">
    <w:name w:val="Plain Table 2"/>
    <w:basedOn w:val="966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807">
    <w:name w:val="Plain Table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808">
    <w:name w:val="Plain Table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9">
    <w:name w:val="Plain Table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810">
    <w:name w:val="Grid Table 1 Light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1">
    <w:name w:val="Grid Table 1 Light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2">
    <w:name w:val="Grid Table 1 Light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3">
    <w:name w:val="Grid Table 1 Light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4">
    <w:name w:val="Grid Table 1 Light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5">
    <w:name w:val="Grid Table 1 Light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6">
    <w:name w:val="Grid Table 1 Light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7">
    <w:name w:val="Grid Table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8">
    <w:name w:val="Grid Table 2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19">
    <w:name w:val="Grid Table 2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0">
    <w:name w:val="Grid Table 2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1">
    <w:name w:val="Grid Table 2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2">
    <w:name w:val="Grid Table 2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3">
    <w:name w:val="Grid Table 2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4">
    <w:name w:val="Grid Table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5">
    <w:name w:val="Grid Table 3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6">
    <w:name w:val="Grid Table 3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7">
    <w:name w:val="Grid Table 3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8">
    <w:name w:val="Grid Table 3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29">
    <w:name w:val="Grid Table 3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0">
    <w:name w:val="Grid Table 3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31">
    <w:name w:val="Grid Table 4"/>
    <w:basedOn w:val="96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832">
    <w:name w:val="Grid Table 4 - Accent 1"/>
    <w:basedOn w:val="96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37fc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833">
    <w:name w:val="Grid Table 4 - Accent 2"/>
    <w:basedOn w:val="96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834">
    <w:name w:val="Grid Table 4 - Accent 3"/>
    <w:basedOn w:val="96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835">
    <w:name w:val="Grid Table 4 - Accent 4"/>
    <w:basedOn w:val="96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36">
    <w:name w:val="Grid Table 4 - Accent 5"/>
    <w:basedOn w:val="96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37">
    <w:name w:val="Grid Table 4 - Accent 6"/>
    <w:basedOn w:val="966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38">
    <w:name w:val="Grid Table 5 Dark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39">
    <w:name w:val="Grid Table 5 Dark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9e2f2" w:themeFill="accent1" w:themeFillTint="34"/>
    </w:tblPr>
    <w:tblStylePr w:type="band1Horz">
      <w:tcPr>
        <w:shd w:val="clear" w:color="ffffff" w:themeColor="accent1" w:themeTint="75" w:fill="aabfe3" w:themeFill="accent1" w:themeFillTint="75"/>
      </w:tcPr>
    </w:tblStylePr>
    <w:tblStylePr w:type="band1Vert">
      <w:tcPr>
        <w:shd w:val="clear" w:color="ffffff" w:themeColor="accent1" w:themeTint="75" w:fill="aabfe3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  <w:tcBorders>
          <w:top w:val="single" w:color="000000" w:themeColor="light1" w:sz="4" w:space="0"/>
        </w:tcBorders>
      </w:tcPr>
    </w:tblStylePr>
  </w:style>
  <w:style w:type="table" w:styleId="840">
    <w:name w:val="Grid Table 5 Dark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841">
    <w:name w:val="Grid Table 5 Dark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842">
    <w:name w:val="Grid Table 5 Dark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843">
    <w:name w:val="Grid Table 5 Dark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debf6" w:themeFill="accent5" w:themeFillTint="34"/>
    </w:tblPr>
    <w:tblStylePr w:type="band1Horz">
      <w:tcPr>
        <w:shd w:val="clear" w:color="ffffff" w:themeColor="accent5" w:themeTint="75" w:fill="b4d2eb" w:themeFill="accent5" w:themeFillTint="75"/>
      </w:tcPr>
    </w:tblStylePr>
    <w:tblStylePr w:type="band1Vert">
      <w:tcPr>
        <w:shd w:val="clear" w:color="ffffff" w:themeColor="accent5" w:themeTint="75" w:fill="b4d2eb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light1" w:sz="4" w:space="0"/>
        </w:tcBorders>
      </w:tcPr>
    </w:tblStylePr>
  </w:style>
  <w:style w:type="table" w:styleId="844">
    <w:name w:val="Grid Table 5 Dark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845">
    <w:name w:val="Grid Table 6 Colorful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846">
    <w:name w:val="Grid Table 6 Colorful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664a9" w:themeColor="accent1" w:themeTint="80" w:themeShade="95"/>
      </w:rPr>
    </w:tblStylePr>
    <w:tblStylePr w:type="firstRow">
      <w:rPr>
        <w:b/>
        <w:color w:val="3664a9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664a9" w:themeColor="accent1" w:themeTint="80" w:themeShade="95"/>
      </w:rPr>
    </w:tblStylePr>
    <w:tblStylePr w:type="lastRow">
      <w:rPr>
        <w:b/>
        <w:color w:val="3664a9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847">
    <w:name w:val="Grid Table 6 Colorful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848">
    <w:name w:val="Grid Table 6 Colorful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849">
    <w:name w:val="Grid Table 6 Colorful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850">
    <w:name w:val="Grid Table 6 Colorful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51">
    <w:name w:val="Grid Table 6 Colorful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852">
    <w:name w:val="Grid Table 7 Colorful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3">
    <w:name w:val="Grid Table 7 Colorful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664a9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3664a9" w:themeColor="accent1" w:themeTint="80" w:themeShade="95"/>
        <w:sz w:val="22"/>
      </w:rPr>
    </w:tblStylePr>
    <w:tblStylePr w:type="firstCol">
      <w:rPr>
        <w:rFonts w:ascii="Arial" w:hAnsi="Arial"/>
        <w:i/>
        <w:color w:val="3664a9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664a9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4">
    <w:name w:val="Grid Table 7 Colorful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5">
    <w:name w:val="Grid Table 7 Colorful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6">
    <w:name w:val="Grid Table 7 Colorful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7">
    <w:name w:val="Grid Table 7 Colorful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45d8d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245d8d" w:themeColor="accent5" w:themeShade="95"/>
        <w:sz w:val="22"/>
      </w:rPr>
    </w:tblStylePr>
    <w:tblStylePr w:type="firstCol">
      <w:rPr>
        <w:rFonts w:ascii="Arial" w:hAnsi="Arial"/>
        <w:i/>
        <w:color w:val="245d8d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8">
    <w:name w:val="Grid Table 7 Colorful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59">
    <w:name w:val="List Table 1 Light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0">
    <w:name w:val="List Table 1 Light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1">
    <w:name w:val="List Table 1 Light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2">
    <w:name w:val="List Table 1 Light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3">
    <w:name w:val="List Table 1 Light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4">
    <w:name w:val="List Table 1 Light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5">
    <w:name w:val="List Table 1 Light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66">
    <w:name w:val="List Table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867">
    <w:name w:val="List Table 2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868">
    <w:name w:val="List Table 2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869">
    <w:name w:val="List Table 2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870">
    <w:name w:val="List Table 2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871">
    <w:name w:val="List Table 2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872">
    <w:name w:val="List Table 2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873">
    <w:name w:val="List Table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4">
    <w:name w:val="List Table 3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5">
    <w:name w:val="List Table 3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6">
    <w:name w:val="List Table 3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7">
    <w:name w:val="List Table 3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8">
    <w:name w:val="List Table 3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cc4e5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79">
    <w:name w:val="List Table 3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0">
    <w:name w:val="List Table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1">
    <w:name w:val="List Table 4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2">
    <w:name w:val="List Table 4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3">
    <w:name w:val="List Table 4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4">
    <w:name w:val="List Table 4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5">
    <w:name w:val="List Table 4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6">
    <w:name w:val="List Table 4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87">
    <w:name w:val="List Table 5 Dark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88">
    <w:name w:val="List Table 5 Dark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472c4" w:themeFill="accent1"/>
    </w:tblPr>
    <w:tblStylePr w:type="band1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472c4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472c4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89">
    <w:name w:val="List Table 5 Dark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90">
    <w:name w:val="List Table 5 Dark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91">
    <w:name w:val="List Table 5 Dark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92">
    <w:name w:val="List Table 5 Dark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cc4e5" w:themeFill="accent5" w:themeFillTint="9A"/>
    </w:tblPr>
    <w:tblStylePr w:type="band1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cc4e5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cc4e5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93">
    <w:name w:val="List Table 5 Dark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94">
    <w:name w:val="List Table 6 Colorful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895">
    <w:name w:val="List Table 6 Colorful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54374" w:themeColor="accent1" w:themeShade="95"/>
      </w:rPr>
    </w:tblStylePr>
    <w:tblStylePr w:type="firstRow">
      <w:rPr>
        <w:b/>
        <w:color w:val="254374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54374" w:themeColor="accent1" w:themeShade="95"/>
      </w:rPr>
    </w:tblStylePr>
    <w:tblStylePr w:type="lastRow">
      <w:rPr>
        <w:b/>
        <w:color w:val="254374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896">
    <w:name w:val="List Table 6 Colorful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897">
    <w:name w:val="List Table 6 Colorful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898">
    <w:name w:val="List Table 6 Colorful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899">
    <w:name w:val="List Table 6 Colorful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2e78b1" w:themeColor="accent5" w:themeTint="9A" w:themeShade="95"/>
      </w:rPr>
    </w:tblStylePr>
    <w:tblStylePr w:type="firstRow">
      <w:rPr>
        <w:b/>
        <w:color w:val="2e78b1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2e78b1" w:themeColor="accent5" w:themeTint="9A" w:themeShade="95"/>
      </w:rPr>
    </w:tblStylePr>
    <w:tblStylePr w:type="lastRow">
      <w:rPr>
        <w:b/>
        <w:color w:val="2e78b1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900">
    <w:name w:val="List Table 6 Colorful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901">
    <w:name w:val="List Table 7 Colorful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902">
    <w:name w:val="List Table 7 Colorful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54374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254374" w:themeColor="accent1" w:themeShade="95"/>
        <w:sz w:val="22"/>
      </w:rPr>
    </w:tblStylePr>
    <w:tblStylePr w:type="firstCol">
      <w:rPr>
        <w:rFonts w:ascii="Arial" w:hAnsi="Arial"/>
        <w:i/>
        <w:color w:val="254374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54374" w:themeColor="accent1" w:themeShade="95"/>
        <w:sz w:val="22"/>
      </w:rPr>
    </w:tblStylePr>
  </w:style>
  <w:style w:type="table" w:styleId="903">
    <w:name w:val="List Table 7 Colorful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904">
    <w:name w:val="List Table 7 Colorful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905">
    <w:name w:val="List Table 7 Colorful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906">
    <w:name w:val="List Table 7 Colorful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2e78b1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2e78b1" w:themeColor="accent5" w:themeTint="9A" w:themeShade="95"/>
        <w:sz w:val="22"/>
      </w:rPr>
    </w:tblStylePr>
    <w:tblStylePr w:type="firstCol">
      <w:rPr>
        <w:rFonts w:ascii="Arial" w:hAnsi="Arial"/>
        <w:i/>
        <w:color w:val="2e78b1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e78b1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e78b1" w:themeColor="accent5" w:themeTint="9A" w:themeShade="95"/>
        <w:sz w:val="22"/>
      </w:rPr>
    </w:tblStylePr>
  </w:style>
  <w:style w:type="table" w:styleId="907">
    <w:name w:val="List Table 7 Colorful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908">
    <w:name w:val="Lined - Accent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909">
    <w:name w:val="Lined - Accent 1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910">
    <w:name w:val="Lined - Accent 2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911">
    <w:name w:val="Lined - Accent 3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912">
    <w:name w:val="Lined - Accent 4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913">
    <w:name w:val="Lined - Accent 5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914">
    <w:name w:val="Lined - Accent 6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915">
    <w:name w:val="Bordered &amp; Lined - Accent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916">
    <w:name w:val="Bordered &amp; Lined - Accent 1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917">
    <w:name w:val="Bordered &amp; Lined - Accent 2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918">
    <w:name w:val="Bordered &amp; Lined - Accent 3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919">
    <w:name w:val="Bordered &amp; Lined - Accent 4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920">
    <w:name w:val="Bordered &amp; Lined - Accent 5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921">
    <w:name w:val="Bordered &amp; Lined - Accent 6"/>
    <w:basedOn w:val="966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922">
    <w:name w:val="Bordered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923">
    <w:name w:val="Bordered - Accent 1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924">
    <w:name w:val="Bordered - Accent 2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925">
    <w:name w:val="Bordered - Accent 3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926">
    <w:name w:val="Bordered - Accent 4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927">
    <w:name w:val="Bordered - Accent 5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928">
    <w:name w:val="Bordered - Accent 6"/>
    <w:basedOn w:val="966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929">
    <w:name w:val="footnote text"/>
    <w:basedOn w:val="946"/>
    <w:link w:val="930"/>
    <w:uiPriority w:val="99"/>
    <w:semiHidden/>
    <w:unhideWhenUsed/>
    <w:pPr>
      <w:spacing w:after="40" w:line="240" w:lineRule="auto"/>
    </w:pPr>
    <w:rPr>
      <w:sz w:val="18"/>
    </w:rPr>
  </w:style>
  <w:style w:type="character" w:styleId="930">
    <w:name w:val="Footnote Text Char"/>
    <w:link w:val="929"/>
    <w:uiPriority w:val="99"/>
    <w:rPr>
      <w:sz w:val="18"/>
    </w:rPr>
  </w:style>
  <w:style w:type="character" w:styleId="931">
    <w:name w:val="footnote reference"/>
    <w:basedOn w:val="947"/>
    <w:uiPriority w:val="99"/>
    <w:unhideWhenUsed/>
    <w:rPr>
      <w:vertAlign w:val="superscript"/>
    </w:rPr>
  </w:style>
  <w:style w:type="paragraph" w:styleId="932">
    <w:name w:val="endnote text"/>
    <w:basedOn w:val="946"/>
    <w:link w:val="933"/>
    <w:uiPriority w:val="99"/>
    <w:semiHidden/>
    <w:unhideWhenUsed/>
    <w:pPr>
      <w:spacing w:after="0" w:line="240" w:lineRule="auto"/>
    </w:pPr>
    <w:rPr>
      <w:sz w:val="20"/>
    </w:rPr>
  </w:style>
  <w:style w:type="character" w:styleId="933">
    <w:name w:val="Endnote Text Char"/>
    <w:link w:val="932"/>
    <w:uiPriority w:val="99"/>
    <w:rPr>
      <w:sz w:val="20"/>
    </w:rPr>
  </w:style>
  <w:style w:type="character" w:styleId="934">
    <w:name w:val="endnote reference"/>
    <w:basedOn w:val="947"/>
    <w:uiPriority w:val="99"/>
    <w:semiHidden/>
    <w:unhideWhenUsed/>
    <w:rPr>
      <w:vertAlign w:val="superscript"/>
    </w:rPr>
  </w:style>
  <w:style w:type="paragraph" w:styleId="935">
    <w:name w:val="toc 1"/>
    <w:basedOn w:val="946"/>
    <w:next w:val="946"/>
    <w:uiPriority w:val="39"/>
    <w:unhideWhenUsed/>
    <w:pPr>
      <w:ind w:left="0" w:right="0" w:firstLine="0"/>
      <w:spacing w:after="57"/>
    </w:pPr>
  </w:style>
  <w:style w:type="paragraph" w:styleId="936">
    <w:name w:val="toc 2"/>
    <w:basedOn w:val="946"/>
    <w:next w:val="946"/>
    <w:uiPriority w:val="39"/>
    <w:unhideWhenUsed/>
    <w:pPr>
      <w:ind w:left="283" w:right="0" w:firstLine="0"/>
      <w:spacing w:after="57"/>
    </w:pPr>
  </w:style>
  <w:style w:type="paragraph" w:styleId="937">
    <w:name w:val="toc 3"/>
    <w:basedOn w:val="946"/>
    <w:next w:val="946"/>
    <w:uiPriority w:val="39"/>
    <w:unhideWhenUsed/>
    <w:pPr>
      <w:ind w:left="567" w:right="0" w:firstLine="0"/>
      <w:spacing w:after="57"/>
    </w:pPr>
  </w:style>
  <w:style w:type="paragraph" w:styleId="938">
    <w:name w:val="toc 4"/>
    <w:basedOn w:val="946"/>
    <w:next w:val="946"/>
    <w:uiPriority w:val="39"/>
    <w:unhideWhenUsed/>
    <w:pPr>
      <w:ind w:left="850" w:right="0" w:firstLine="0"/>
      <w:spacing w:after="57"/>
    </w:pPr>
  </w:style>
  <w:style w:type="paragraph" w:styleId="939">
    <w:name w:val="toc 5"/>
    <w:basedOn w:val="946"/>
    <w:next w:val="946"/>
    <w:uiPriority w:val="39"/>
    <w:unhideWhenUsed/>
    <w:pPr>
      <w:ind w:left="1134" w:right="0" w:firstLine="0"/>
      <w:spacing w:after="57"/>
    </w:pPr>
  </w:style>
  <w:style w:type="paragraph" w:styleId="940">
    <w:name w:val="toc 6"/>
    <w:basedOn w:val="946"/>
    <w:next w:val="946"/>
    <w:uiPriority w:val="39"/>
    <w:unhideWhenUsed/>
    <w:pPr>
      <w:ind w:left="1417" w:right="0" w:firstLine="0"/>
      <w:spacing w:after="57"/>
    </w:pPr>
  </w:style>
  <w:style w:type="paragraph" w:styleId="941">
    <w:name w:val="toc 7"/>
    <w:basedOn w:val="946"/>
    <w:next w:val="946"/>
    <w:uiPriority w:val="39"/>
    <w:unhideWhenUsed/>
    <w:pPr>
      <w:ind w:left="1701" w:right="0" w:firstLine="0"/>
      <w:spacing w:after="57"/>
    </w:pPr>
  </w:style>
  <w:style w:type="paragraph" w:styleId="942">
    <w:name w:val="toc 8"/>
    <w:basedOn w:val="946"/>
    <w:next w:val="946"/>
    <w:uiPriority w:val="39"/>
    <w:unhideWhenUsed/>
    <w:pPr>
      <w:ind w:left="1984" w:right="0" w:firstLine="0"/>
      <w:spacing w:after="57"/>
    </w:pPr>
  </w:style>
  <w:style w:type="paragraph" w:styleId="943">
    <w:name w:val="toc 9"/>
    <w:basedOn w:val="946"/>
    <w:next w:val="946"/>
    <w:uiPriority w:val="39"/>
    <w:unhideWhenUsed/>
    <w:pPr>
      <w:ind w:left="2268" w:right="0" w:firstLine="0"/>
      <w:spacing w:after="57"/>
    </w:pPr>
  </w:style>
  <w:style w:type="paragraph" w:styleId="944">
    <w:name w:val="TOC Heading"/>
    <w:uiPriority w:val="39"/>
    <w:unhideWhenUsed/>
  </w:style>
  <w:style w:type="paragraph" w:styleId="945">
    <w:name w:val="table of figures"/>
    <w:basedOn w:val="946"/>
    <w:next w:val="946"/>
    <w:uiPriority w:val="99"/>
    <w:unhideWhenUsed/>
    <w:pPr>
      <w:spacing w:after="0" w:afterAutospacing="0"/>
    </w:pPr>
  </w:style>
  <w:style w:type="paragraph" w:styleId="946" w:default="1">
    <w:name w:val="Normal"/>
    <w:qFormat/>
    <w:pPr>
      <w:jc w:val="left"/>
      <w:spacing w:before="0" w:after="160" w:line="259" w:lineRule="auto"/>
      <w:widowControl/>
    </w:pPr>
    <w:rPr>
      <w:rFonts w:ascii="Calibri" w:hAnsi="Calibri" w:eastAsia="Calibri" w:asciiTheme="minorHAnsi" w:hAnsiTheme="minorHAnsi" w:eastAsiaTheme="minorHAnsi" w:cstheme="minorBidi"/>
      <w:color w:val="auto"/>
      <w:sz w:val="22"/>
      <w:szCs w:val="22"/>
      <w:lang w:val="ru-RU" w:eastAsia="en-US" w:bidi="ar-SA"/>
    </w:rPr>
  </w:style>
  <w:style w:type="character" w:styleId="947" w:default="1">
    <w:name w:val="Default Paragraph Font"/>
    <w:uiPriority w:val="1"/>
    <w:semiHidden/>
    <w:unhideWhenUsed/>
    <w:qFormat/>
  </w:style>
  <w:style w:type="character" w:styleId="948">
    <w:name w:val="Hyperlink"/>
    <w:basedOn w:val="947"/>
    <w:uiPriority w:val="99"/>
    <w:semiHidden/>
    <w:unhideWhenUsed/>
    <w:rPr>
      <w:color w:val="0000ff"/>
      <w:u w:val="single"/>
    </w:rPr>
  </w:style>
  <w:style w:type="character" w:styleId="949" w:customStyle="1">
    <w:name w:val="Основной текст с отступом Знак"/>
    <w:basedOn w:val="947"/>
    <w:qFormat/>
    <w:rPr>
      <w:rFonts w:ascii="Arial" w:hAnsi="Arial" w:eastAsia="Times New Roman" w:cs="Arial"/>
      <w:sz w:val="24"/>
      <w:szCs w:val="24"/>
      <w:lang w:eastAsia="ru-RU"/>
    </w:rPr>
  </w:style>
  <w:style w:type="character" w:styleId="950" w:customStyle="1">
    <w:name w:val="Текст выноски Знак"/>
    <w:basedOn w:val="947"/>
    <w:link w:val="961"/>
    <w:uiPriority w:val="99"/>
    <w:semiHidden/>
    <w:qFormat/>
    <w:rPr>
      <w:rFonts w:ascii="Segoe UI" w:hAnsi="Segoe UI" w:cs="Segoe UI"/>
      <w:sz w:val="18"/>
      <w:szCs w:val="18"/>
    </w:rPr>
  </w:style>
  <w:style w:type="character" w:styleId="951" w:customStyle="1">
    <w:name w:val="Верхний колонтитул Знак"/>
    <w:basedOn w:val="947"/>
    <w:uiPriority w:val="99"/>
    <w:qFormat/>
  </w:style>
  <w:style w:type="character" w:styleId="952" w:customStyle="1">
    <w:name w:val="Нижний колонтитул Знак"/>
    <w:basedOn w:val="947"/>
    <w:uiPriority w:val="99"/>
    <w:qFormat/>
  </w:style>
  <w:style w:type="paragraph" w:styleId="953">
    <w:name w:val="Заголовок"/>
    <w:basedOn w:val="946"/>
    <w:next w:val="954"/>
    <w:qFormat/>
    <w:pPr>
      <w:keepNext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954">
    <w:name w:val="Body Text"/>
    <w:basedOn w:val="946"/>
    <w:pPr>
      <w:spacing w:before="0" w:after="140" w:line="276" w:lineRule="auto"/>
    </w:pPr>
  </w:style>
  <w:style w:type="paragraph" w:styleId="955">
    <w:name w:val="List"/>
    <w:basedOn w:val="954"/>
    <w:rPr>
      <w:rFonts w:cs="Lucida Sans"/>
    </w:rPr>
  </w:style>
  <w:style w:type="paragraph" w:styleId="956">
    <w:name w:val="Caption"/>
    <w:basedOn w:val="946"/>
    <w:link w:val="803"/>
    <w:qFormat/>
    <w:pPr>
      <w:spacing w:before="120" w:after="120"/>
      <w:suppressLineNumbers/>
    </w:pPr>
    <w:rPr>
      <w:rFonts w:cs="Lucida Sans"/>
      <w:i/>
      <w:iCs/>
      <w:sz w:val="24"/>
      <w:szCs w:val="24"/>
    </w:rPr>
  </w:style>
  <w:style w:type="paragraph" w:styleId="957">
    <w:name w:val="Указатель"/>
    <w:basedOn w:val="946"/>
    <w:qFormat/>
    <w:pPr>
      <w:suppressLineNumbers/>
    </w:pPr>
    <w:rPr>
      <w:rFonts w:cs="Lucida Sans"/>
    </w:rPr>
  </w:style>
  <w:style w:type="paragraph" w:styleId="958">
    <w:name w:val="List Paragraph"/>
    <w:basedOn w:val="946"/>
    <w:uiPriority w:val="34"/>
    <w:qFormat/>
    <w:pPr>
      <w:contextualSpacing/>
      <w:ind w:left="720" w:firstLine="0"/>
      <w:spacing w:before="0" w:after="160"/>
    </w:pPr>
  </w:style>
  <w:style w:type="paragraph" w:styleId="959">
    <w:name w:val="Normal (Web)"/>
    <w:basedOn w:val="946"/>
    <w:uiPriority w:val="99"/>
    <w:unhideWhenUsed/>
    <w:qFormat/>
    <w:pPr>
      <w:spacing w:beforeAutospacing="1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960">
    <w:name w:val="Body Text Indent"/>
    <w:basedOn w:val="946"/>
    <w:link w:val="949"/>
    <w:pPr>
      <w:ind w:left="283" w:firstLine="720"/>
      <w:jc w:val="both"/>
      <w:spacing w:before="0" w:after="120" w:line="240" w:lineRule="auto"/>
      <w:widowControl w:val="off"/>
    </w:pPr>
    <w:rPr>
      <w:rFonts w:ascii="Arial" w:hAnsi="Arial" w:eastAsia="Times New Roman" w:cs="Arial"/>
      <w:sz w:val="24"/>
      <w:szCs w:val="24"/>
      <w:lang w:eastAsia="ru-RU"/>
    </w:rPr>
  </w:style>
  <w:style w:type="paragraph" w:styleId="961">
    <w:name w:val="Balloon Text"/>
    <w:basedOn w:val="946"/>
    <w:link w:val="950"/>
    <w:uiPriority w:val="99"/>
    <w:semiHidden/>
    <w:unhideWhenUsed/>
    <w:qFormat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paragraph" w:styleId="962">
    <w:name w:val="Колонтитул"/>
    <w:basedOn w:val="946"/>
    <w:qFormat/>
  </w:style>
  <w:style w:type="paragraph" w:styleId="963">
    <w:name w:val="Header"/>
    <w:basedOn w:val="946"/>
    <w:link w:val="951"/>
    <w:uiPriority w:val="99"/>
    <w:unhideWhenUsed/>
    <w:pPr>
      <w:spacing w:before="0" w:after="0" w:line="240" w:lineRule="auto"/>
      <w:tabs>
        <w:tab w:val="clear" w:pos="708" w:leader="none"/>
        <w:tab w:val="center" w:pos="4677" w:leader="none"/>
        <w:tab w:val="right" w:pos="9355" w:leader="none"/>
      </w:tabs>
    </w:pPr>
  </w:style>
  <w:style w:type="paragraph" w:styleId="964">
    <w:name w:val="Footer"/>
    <w:basedOn w:val="946"/>
    <w:link w:val="952"/>
    <w:uiPriority w:val="99"/>
    <w:unhideWhenUsed/>
    <w:pPr>
      <w:spacing w:before="0" w:after="0" w:line="240" w:lineRule="auto"/>
      <w:tabs>
        <w:tab w:val="clear" w:pos="708" w:leader="none"/>
        <w:tab w:val="center" w:pos="4677" w:leader="none"/>
        <w:tab w:val="right" w:pos="9355" w:leader="none"/>
      </w:tabs>
    </w:pPr>
  </w:style>
  <w:style w:type="numbering" w:styleId="965" w:default="1">
    <w:name w:val="No List"/>
    <w:uiPriority w:val="99"/>
    <w:semiHidden/>
    <w:unhideWhenUsed/>
    <w:qFormat/>
  </w:style>
  <w:style w:type="table" w:styleId="966" w:default="1">
    <w:name w:val="Normal Table"/>
    <w:uiPriority w:val="99"/>
    <w:semiHidden/>
    <w:unhideWhenUsed/>
    <w:tblPr>
      <w:tblCellMar>
        <w:left w:w="108" w:type="dxa"/>
        <w:top w:w="0" w:type="dxa"/>
        <w:right w:w="108" w:type="dxa"/>
        <w:bottom w:w="0" w:type="dxa"/>
      </w:tblCellMar>
    </w:tblPr>
  </w:style>
  <w:style w:type="table" w:styleId="967">
    <w:name w:val="Table Grid"/>
    <w:basedOn w:val="966"/>
    <w:uiPriority w:val="39"/>
    <w:pPr>
      <w:spacing w:after="0" w:line="240" w:lineRule="auto"/>
    </w:p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paragraph" w:styleId="968" w:customStyle="1">
    <w:name w:val="Заголовок 1"/>
    <w:uiPriority w:val="99"/>
    <w:qFormat/>
    <w:pPr>
      <w:contextualSpacing w:val="0"/>
      <w:ind w:left="0" w:right="0" w:firstLine="0"/>
      <w:jc w:val="center"/>
      <w:keepLines w:val="0"/>
      <w:keepNext w:val="0"/>
      <w:pageBreakBefore w:val="0"/>
      <w:spacing w:before="108" w:beforeAutospacing="0" w:after="108" w:afterAutospacing="0" w:line="240" w:lineRule="auto"/>
      <w:shd w:val="nil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outlineLvl w:val="0"/>
      <w:suppressLineNumbers w:val="0"/>
    </w:pPr>
    <w:rPr>
      <w:rFonts w:ascii="Cambria" w:hAnsi="Cambria" w:eastAsia="Times New Roman" w:cs="Times New Roman"/>
      <w:b/>
      <w:bCs/>
      <w:i w:val="0"/>
      <w:iCs w:val="0"/>
      <w:caps w:val="0"/>
      <w:smallCaps w:val="0"/>
      <w:strike w:val="0"/>
      <w:vanish w:val="0"/>
      <w:color w:val="auto"/>
      <w:spacing w:val="0"/>
      <w:position w:val="0"/>
      <w:sz w:val="32"/>
      <w:szCs w:val="32"/>
      <w:highlight w:val="none"/>
      <w:u w:val="none"/>
      <w:vertAlign w:val="baseline"/>
      <w:rtl w:val="0"/>
      <w:cs w:val="0"/>
      <w:lang w:val="en-US" w:eastAsia="en-US" w:bidi="ar-SA"/>
      <w14:ligatures w14:val="none"/>
    </w:rPr>
  </w:style>
  <w:style w:type="paragraph" w:styleId="969" w:customStyle="1">
    <w:name w:val="Основной текст2"/>
    <w:pPr>
      <w:contextualSpacing w:val="0"/>
      <w:ind w:left="0" w:right="0" w:hanging="1420"/>
      <w:jc w:val="center"/>
      <w:keepLines w:val="0"/>
      <w:keepNext w:val="0"/>
      <w:pageBreakBefore w:val="0"/>
      <w:spacing w:before="1320" w:beforeAutospacing="0" w:after="600" w:afterAutospacing="0" w:line="0" w:lineRule="atLeast"/>
      <w:shd w:val="clear" w:color="auto" w:fill="ffffff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25"/>
      <w:szCs w:val="25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970" w:customStyle="1">
    <w:name w:val="Подпись к таблице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0" w:lineRule="atLeast"/>
      <w:shd w:val="clear" w:color="auto" w:fill="ffffff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25"/>
      <w:szCs w:val="25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character" w:styleId="971" w:customStyle="1">
    <w:name w:val="Основной текст + 11 pt"/>
    <w:rPr>
      <w:rFonts w:ascii="Times New Roman" w:hAnsi="Times New Roman" w:eastAsia="Times New Roman" w:cs="Times New Roman"/>
      <w:b w:val="0"/>
      <w:bCs w:val="0"/>
      <w:i w:val="0"/>
      <w:iCs w:val="0"/>
      <w:smallCaps w:val="0"/>
      <w:strike w:val="0"/>
      <w:color w:val="000000"/>
      <w:spacing w:val="0"/>
      <w:position w:val="0"/>
      <w:sz w:val="22"/>
      <w:szCs w:val="22"/>
      <w:u w:val="none"/>
      <w:lang w:val="ru-RU"/>
    </w:rPr>
  </w:style>
  <w:style w:type="character" w:styleId="972" w:customStyle="1">
    <w:name w:val="Основной текст + 13;5 pt;Курсив"/>
    <w:rPr>
      <w:rFonts w:ascii="Times New Roman" w:hAnsi="Times New Roman" w:eastAsia="Times New Roman" w:cs="Times New Roman"/>
      <w:b w:val="0"/>
      <w:bCs w:val="0"/>
      <w:i/>
      <w:iCs/>
      <w:smallCaps w:val="0"/>
      <w:strike w:val="0"/>
      <w:color w:val="000000"/>
      <w:spacing w:val="0"/>
      <w:position w:val="0"/>
      <w:sz w:val="27"/>
      <w:szCs w:val="27"/>
      <w:u w:val="none"/>
      <w:lang w:val="ru-RU"/>
    </w:rPr>
  </w:style>
  <w:style w:type="paragraph" w:styleId="973" w:customStyle="1">
    <w:name w:val="Подпись к картинке (3)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0" w:lineRule="atLeast"/>
      <w:shd w:val="clear" w:color="auto" w:fill="ffffff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Calibri" w:hAnsi="Calibri" w:eastAsia="Calibri" w:cs="Calibri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18"/>
      <w:szCs w:val="18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974" w:customStyle="1">
    <w:name w:val="Подпись к картинке"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360" w:lineRule="exact"/>
      <w:shd w:val="clear" w:color="auto" w:fill="ffffff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Segoe UI" w:hAnsi="Segoe UI" w:eastAsia="Segoe UI" w:cs="Segoe UI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18"/>
      <w:szCs w:val="18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975" w:customStyle="1">
    <w:name w:val="ConsPlusNormal"/>
    <w:link w:val="820"/>
    <w:qFormat/>
    <w:pPr>
      <w:contextualSpacing w:val="0"/>
      <w:ind w:left="0" w:right="0" w:firstLine="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Arial" w:hAnsi="Arial" w:eastAsia="Times New Roman" w:cs="Arial"/>
      <w:b w:val="0"/>
      <w:bCs w:val="0"/>
      <w:i w:val="0"/>
      <w:iCs w:val="0"/>
      <w:caps w:val="0"/>
      <w:smallCaps w:val="0"/>
      <w:strike w:val="0"/>
      <w:vanish w:val="0"/>
      <w:color w:val="auto"/>
      <w:spacing w:val="0"/>
      <w:position w:val="0"/>
      <w:sz w:val="20"/>
      <w:szCs w:val="20"/>
      <w:highlight w:val="none"/>
      <w:u w:val="none"/>
      <w:vertAlign w:val="baseline"/>
      <w:rtl w:val="0"/>
      <w:cs w:val="0"/>
      <w:lang w:val="ru-RU" w:eastAsia="ru-RU" w:bidi="ar-SA"/>
      <w14:ligatures w14:val="none"/>
    </w:rPr>
  </w:style>
  <w:style w:type="paragraph" w:styleId="976" w:customStyle="1">
    <w:name w:val="Основной текст1"/>
    <w:pPr>
      <w:contextualSpacing w:val="0"/>
      <w:ind w:left="0" w:right="0" w:firstLine="400"/>
      <w:jc w:val="left"/>
      <w:keepLines w:val="0"/>
      <w:keepNext w:val="0"/>
      <w:pageBreakBefore w:val="0"/>
      <w:spacing w:before="0" w:beforeAutospacing="0" w:after="0" w:afterAutospacing="0" w:line="240" w:lineRule="auto"/>
      <w:shd w:val="nil"/>
      <w:widowControl w:val="off"/>
      <w:pBdr>
        <w:top w:val="none" w:color="000000" w:sz="4" w:space="0"/>
        <w:left w:val="none" w:color="000000" w:sz="4" w:space="0"/>
        <w:bottom w:val="none" w:color="000000" w:sz="4" w:space="0"/>
        <w:right w:val="none" w:color="000000" w:sz="4" w:space="0"/>
        <w:between w:val="none" w:color="000000" w:sz="4" w:space="0"/>
      </w:pBdr>
      <w:suppressLineNumbers w:val="0"/>
    </w:pPr>
    <w:rPr>
      <w:rFonts w:ascii="Times New Roman" w:hAnsi="Times New Roman" w:eastAsia="Times New Roman" w:cs="Times New Roman"/>
      <w:b w:val="0"/>
      <w:bCs w:val="0"/>
      <w:i w:val="0"/>
      <w:iCs w:val="0"/>
      <w:caps w:val="0"/>
      <w:smallCaps w:val="0"/>
      <w:strike w:val="0"/>
      <w:vanish w:val="0"/>
      <w:color w:val="000000"/>
      <w:spacing w:val="0"/>
      <w:position w:val="0"/>
      <w:sz w:val="28"/>
      <w:szCs w:val="28"/>
      <w:highlight w:val="none"/>
      <w:u w:val="none"/>
      <w:vertAlign w:val="baseline"/>
      <w:rtl w:val="0"/>
      <w:cs w:val="0"/>
      <w:lang w:val="ru-RU" w:eastAsia="ru-RU" w:bidi="ru-RU"/>
      <w14:ligatures w14:val="none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header" Target="header1.xml" /><Relationship Id="rId10" Type="http://schemas.openxmlformats.org/officeDocument/2006/relationships/header" Target="header2.xml" /><Relationship Id="rId11" Type="http://schemas.openxmlformats.org/officeDocument/2006/relationships/footer" Target="footer1.xml" /><Relationship Id="rId12" Type="http://schemas.openxmlformats.org/officeDocument/2006/relationships/customXml" Target="../customXml/item1.xml" /><Relationship Id="rId13" Type="http://schemas.openxmlformats.org/officeDocument/2006/relationships/image" Target="media/image1.jpg"/><Relationship Id="rId14" Type="http://schemas.openxmlformats.org/officeDocument/2006/relationships/image" Target="media/image2.png"/><Relationship Id="rId15" Type="http://schemas.openxmlformats.org/officeDocument/2006/relationships/image" Target="media/image3.png"/><Relationship Id="rId16" Type="http://schemas.openxmlformats.org/officeDocument/2006/relationships/image" Target="media/image4.png"/><Relationship Id="rId17" Type="http://schemas.openxmlformats.org/officeDocument/2006/relationships/image" Target="media/image5.png"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_rels/header1.xml.rels><?xml version="1.0" encoding="UTF-8" standalone="yes"?><Relationships xmlns="http://schemas.openxmlformats.org/package/2006/relationships"></Relationships>
</file>

<file path=word/_rels/header2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823358-1CFD-4E4C-954D-D44053D0F6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Р7-Офис/2025.1.1.763</Application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dc:description/>
  <dc:language>ru-RU</dc:language>
  <cp:lastModifiedBy>usacheva</cp:lastModifiedBy>
  <cp:revision>136</cp:revision>
  <dcterms:created xsi:type="dcterms:W3CDTF">2022-11-09T04:59:00Z</dcterms:created>
  <dcterms:modified xsi:type="dcterms:W3CDTF">2025-06-26T11:10:18Z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