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8000000">
      <w:pPr>
        <w:widowControl w:val="1"/>
        <w:ind w:left="5529" w:right="94"/>
        <w:jc w:val="both"/>
        <w:rPr>
          <w:sz w:val="28"/>
        </w:rPr>
      </w:pPr>
      <w:r>
        <w:rPr>
          <w:sz w:val="28"/>
        </w:rPr>
        <w:t>Заместителю</w:t>
      </w:r>
      <w:r>
        <w:rPr>
          <w:sz w:val="28"/>
        </w:rPr>
        <w:t xml:space="preserve"> главы</w:t>
      </w:r>
      <w:r>
        <w:rPr>
          <w:sz w:val="28"/>
        </w:rPr>
        <w:t xml:space="preserve"> </w:t>
      </w:r>
    </w:p>
    <w:p w14:paraId="09000000">
      <w:pPr>
        <w:widowControl w:val="1"/>
        <w:ind w:left="5529" w:right="94"/>
        <w:jc w:val="both"/>
        <w:rPr>
          <w:sz w:val="28"/>
        </w:rPr>
      </w:pPr>
      <w:r>
        <w:rPr>
          <w:sz w:val="28"/>
        </w:rPr>
        <w:t xml:space="preserve">Ленинградского муниципального округа, начальнику финансового управления </w:t>
      </w:r>
    </w:p>
    <w:p w14:paraId="0A000000">
      <w:pPr>
        <w:widowControl w:val="1"/>
        <w:ind w:left="5529" w:right="94"/>
        <w:jc w:val="right"/>
        <w:rPr>
          <w:sz w:val="28"/>
        </w:rPr>
      </w:pPr>
    </w:p>
    <w:p w14:paraId="0B000000">
      <w:pPr>
        <w:widowControl w:val="1"/>
        <w:ind w:left="5529" w:right="94"/>
        <w:rPr>
          <w:sz w:val="28"/>
        </w:rPr>
      </w:pPr>
      <w:r>
        <w:rPr>
          <w:sz w:val="28"/>
        </w:rPr>
        <w:t>Тертица С.В.</w:t>
      </w:r>
    </w:p>
    <w:p w14:paraId="0C000000">
      <w:pPr>
        <w:widowControl w:val="1"/>
        <w:ind w:right="94"/>
        <w:rPr>
          <w:sz w:val="28"/>
        </w:rPr>
      </w:pPr>
      <w:r>
        <w:rPr>
          <w:sz w:val="28"/>
        </w:rPr>
        <w:t xml:space="preserve"> </w:t>
      </w:r>
    </w:p>
    <w:p w14:paraId="0D000000">
      <w:pPr>
        <w:widowControl w:val="1"/>
        <w:ind w:right="94"/>
        <w:rPr>
          <w:sz w:val="28"/>
        </w:rPr>
      </w:pPr>
      <w:r>
        <w:rPr>
          <w:sz w:val="28"/>
        </w:rPr>
        <w:t xml:space="preserve"> </w:t>
      </w:r>
    </w:p>
    <w:p w14:paraId="0E000000">
      <w:pPr>
        <w:widowControl w:val="1"/>
        <w:ind w:right="94"/>
        <w:jc w:val="center"/>
        <w:rPr>
          <w:b w:val="1"/>
          <w:sz w:val="28"/>
        </w:rPr>
      </w:pPr>
      <w:r>
        <w:rPr>
          <w:b w:val="1"/>
          <w:sz w:val="28"/>
        </w:rPr>
        <w:t>Заключение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№ 20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от 27 октября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20</w:t>
      </w:r>
      <w:r>
        <w:rPr>
          <w:b w:val="1"/>
          <w:sz w:val="28"/>
        </w:rPr>
        <w:t>2</w:t>
      </w:r>
      <w:r>
        <w:rPr>
          <w:b w:val="1"/>
          <w:sz w:val="28"/>
        </w:rPr>
        <w:t>6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г</w:t>
      </w:r>
      <w:r>
        <w:rPr>
          <w:b w:val="1"/>
          <w:sz w:val="28"/>
        </w:rPr>
        <w:t>.</w:t>
      </w:r>
    </w:p>
    <w:p w14:paraId="0F000000">
      <w:pPr>
        <w:widowControl w:val="1"/>
        <w:ind/>
        <w:jc w:val="center"/>
        <w:rPr>
          <w:sz w:val="28"/>
        </w:rPr>
      </w:pPr>
      <w:r>
        <w:rPr>
          <w:sz w:val="28"/>
        </w:rPr>
        <w:t xml:space="preserve">об оценке регулирующего воздействия </w:t>
      </w:r>
      <w:r>
        <w:rPr>
          <w:sz w:val="28"/>
        </w:rPr>
        <w:t xml:space="preserve">проекта </w:t>
      </w:r>
      <w:r>
        <w:rPr>
          <w:sz w:val="28"/>
        </w:rPr>
        <w:t xml:space="preserve">постановления администрации </w:t>
      </w:r>
      <w:r>
        <w:rPr>
          <w:sz w:val="28"/>
        </w:rPr>
        <w:t>муниципального образования Ленинградский муниципальный округ</w:t>
      </w:r>
    </w:p>
    <w:p w14:paraId="10000000">
      <w:pPr>
        <w:widowControl w:val="1"/>
        <w:ind/>
        <w:jc w:val="center"/>
        <w:rPr>
          <w:sz w:val="28"/>
        </w:rPr>
      </w:pPr>
      <w:r>
        <w:rPr>
          <w:sz w:val="28"/>
        </w:rPr>
        <w:t xml:space="preserve">Краснодарского края </w:t>
      </w:r>
      <w:r>
        <w:rPr>
          <w:sz w:val="28"/>
        </w:rPr>
        <w:t>«</w:t>
      </w:r>
      <w:r>
        <w:rPr>
          <w:rFonts w:ascii="Times New Roman" w:hAnsi="Times New Roman"/>
          <w:b w:val="0"/>
          <w:sz w:val="28"/>
        </w:rPr>
        <w:t>О внесении изменений в постановление администрации муниципального образования Ленинградский муниципальный округ Краснодарского края от 6 октября 2025 г. № 1422 «</w:t>
      </w:r>
      <w:r>
        <w:rPr>
          <w:rFonts w:ascii="Times New Roman" w:hAnsi="Times New Roman"/>
          <w:b w:val="0"/>
          <w:sz w:val="28"/>
        </w:rPr>
        <w:t xml:space="preserve">Об </w:t>
      </w:r>
      <w:r>
        <w:rPr>
          <w:rFonts w:ascii="Times New Roman" w:hAnsi="Times New Roman"/>
          <w:b w:val="0"/>
          <w:sz w:val="28"/>
        </w:rPr>
        <w:t xml:space="preserve">утверждении Положения о размещении </w:t>
      </w:r>
      <w:r>
        <w:rPr>
          <w:rFonts w:ascii="Times New Roman" w:hAnsi="Times New Roman"/>
          <w:b w:val="0"/>
          <w:sz w:val="28"/>
        </w:rPr>
        <w:t xml:space="preserve">нестационарных торговых объектов </w:t>
      </w:r>
      <w:r>
        <w:rPr>
          <w:rFonts w:ascii="Times New Roman" w:hAnsi="Times New Roman"/>
          <w:b w:val="0"/>
          <w:sz w:val="28"/>
        </w:rPr>
        <w:t xml:space="preserve"> на территории </w:t>
      </w:r>
      <w:r>
        <w:rPr>
          <w:rFonts w:ascii="Times New Roman" w:hAnsi="Times New Roman"/>
          <w:b w:val="0"/>
          <w:sz w:val="28"/>
        </w:rPr>
        <w:t>Ленинградского муниципального округа</w:t>
      </w:r>
      <w:r>
        <w:rPr>
          <w:sz w:val="28"/>
        </w:rPr>
        <w:t>»</w:t>
      </w:r>
      <w:r>
        <w:rPr>
          <w:sz w:val="28"/>
        </w:rPr>
        <w:t xml:space="preserve"> </w:t>
      </w:r>
    </w:p>
    <w:p w14:paraId="11000000">
      <w:pPr>
        <w:widowControl w:val="1"/>
        <w:ind/>
        <w:jc w:val="center"/>
        <w:rPr>
          <w:b w:val="1"/>
          <w:sz w:val="28"/>
        </w:rPr>
      </w:pPr>
    </w:p>
    <w:p w14:paraId="12000000">
      <w:pPr>
        <w:widowControl w:val="1"/>
        <w:ind/>
        <w:jc w:val="both"/>
        <w:outlineLvl w:val="0"/>
        <w:rPr>
          <w:sz w:val="28"/>
        </w:rPr>
      </w:pPr>
      <w:r>
        <w:rPr>
          <w:sz w:val="28"/>
        </w:rPr>
        <w:tab/>
      </w:r>
      <w:r>
        <w:rPr>
          <w:sz w:val="28"/>
        </w:rPr>
        <w:t>Отдел экономики</w:t>
      </w:r>
      <w:r>
        <w:rPr>
          <w:sz w:val="28"/>
        </w:rPr>
        <w:t xml:space="preserve"> </w:t>
      </w:r>
      <w:r>
        <w:rPr>
          <w:sz w:val="28"/>
        </w:rPr>
        <w:t xml:space="preserve">администрации </w:t>
      </w:r>
      <w:r>
        <w:rPr>
          <w:sz w:val="28"/>
        </w:rPr>
        <w:t xml:space="preserve">Ленинградского </w:t>
      </w:r>
      <w:r>
        <w:rPr>
          <w:sz w:val="28"/>
        </w:rPr>
        <w:t>муниципального о</w:t>
      </w:r>
      <w:r>
        <w:rPr>
          <w:sz w:val="28"/>
        </w:rPr>
        <w:t>круга</w:t>
      </w:r>
      <w:r>
        <w:rPr>
          <w:sz w:val="28"/>
        </w:rPr>
        <w:t>, как уполномоченный орган по проведению оценки регулирующего</w:t>
      </w:r>
      <w:r>
        <w:rPr>
          <w:sz w:val="28"/>
        </w:rPr>
        <w:t xml:space="preserve"> воздействия проектов муниципальных правовых актов </w:t>
      </w:r>
      <w:r>
        <w:rPr>
          <w:sz w:val="28"/>
        </w:rPr>
        <w:t xml:space="preserve">Ленинградского </w:t>
      </w:r>
      <w:r>
        <w:rPr>
          <w:sz w:val="28"/>
        </w:rPr>
        <w:t>муниципального о</w:t>
      </w:r>
      <w:r>
        <w:rPr>
          <w:sz w:val="28"/>
        </w:rPr>
        <w:t>круга</w:t>
      </w:r>
      <w:r>
        <w:rPr>
          <w:sz w:val="28"/>
        </w:rPr>
        <w:t xml:space="preserve">, </w:t>
      </w:r>
      <w:r>
        <w:rPr>
          <w:sz w:val="28"/>
        </w:rPr>
        <w:t xml:space="preserve">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</w:t>
      </w:r>
      <w:r>
        <w:rPr>
          <w:sz w:val="28"/>
        </w:rPr>
        <w:t>(далее – Уполномоченный орган), рассмотрел поступивший</w:t>
      </w:r>
      <w:r>
        <w:rPr>
          <w:sz w:val="28"/>
        </w:rPr>
        <w:t xml:space="preserve"> </w:t>
      </w:r>
      <w:r>
        <w:rPr>
          <w:sz w:val="28"/>
        </w:rPr>
        <w:t xml:space="preserve"> 7 октября</w:t>
      </w:r>
      <w:bookmarkStart w:id="1" w:name="_GoBack"/>
      <w:bookmarkEnd w:id="1"/>
      <w:r>
        <w:rPr>
          <w:sz w:val="28"/>
        </w:rPr>
        <w:t xml:space="preserve"> </w:t>
      </w:r>
      <w:r>
        <w:rPr>
          <w:sz w:val="28"/>
        </w:rPr>
        <w:t>202</w:t>
      </w:r>
      <w:r>
        <w:rPr>
          <w:sz w:val="28"/>
        </w:rPr>
        <w:t>6</w:t>
      </w:r>
      <w:r>
        <w:rPr>
          <w:sz w:val="28"/>
        </w:rPr>
        <w:t xml:space="preserve"> г. </w:t>
      </w:r>
      <w:r>
        <w:rPr>
          <w:sz w:val="28"/>
        </w:rPr>
        <w:t xml:space="preserve">проект </w:t>
      </w:r>
      <w:r>
        <w:rPr>
          <w:sz w:val="28"/>
        </w:rPr>
        <w:t xml:space="preserve">постановления администрации муниципального образования Ленинградский муниципальный округ </w:t>
      </w:r>
      <w:r>
        <w:rPr>
          <w:sz w:val="28"/>
        </w:rPr>
        <w:t>Краснодарского края</w:t>
      </w:r>
      <w:r>
        <w:rPr>
          <w:sz w:val="28"/>
        </w:rPr>
        <w:t xml:space="preserve"> </w:t>
      </w:r>
      <w:r>
        <w:rPr>
          <w:sz w:val="28"/>
        </w:rPr>
        <w:t>«</w:t>
      </w:r>
      <w:r>
        <w:rPr>
          <w:rFonts w:ascii="Times New Roman" w:hAnsi="Times New Roman"/>
          <w:b w:val="0"/>
          <w:sz w:val="28"/>
        </w:rPr>
        <w:t>О внесении изменений в постановление администрации муниципального образования Ленинградский муниципальный округ Краснодарского края от 6 октября 2025 г. № 1422 «</w:t>
      </w:r>
      <w:r>
        <w:rPr>
          <w:rFonts w:ascii="Times New Roman" w:hAnsi="Times New Roman"/>
          <w:b w:val="0"/>
          <w:sz w:val="28"/>
        </w:rPr>
        <w:t xml:space="preserve">Об </w:t>
      </w:r>
      <w:r>
        <w:rPr>
          <w:rFonts w:ascii="Times New Roman" w:hAnsi="Times New Roman"/>
          <w:b w:val="0"/>
          <w:sz w:val="28"/>
        </w:rPr>
        <w:t xml:space="preserve">утверждении Положения о размещении </w:t>
      </w:r>
      <w:r>
        <w:rPr>
          <w:rFonts w:ascii="Times New Roman" w:hAnsi="Times New Roman"/>
          <w:b w:val="0"/>
          <w:sz w:val="28"/>
        </w:rPr>
        <w:t xml:space="preserve">нестационарных торговых объектов </w:t>
      </w:r>
      <w:r>
        <w:rPr>
          <w:rFonts w:ascii="Times New Roman" w:hAnsi="Times New Roman"/>
          <w:b w:val="0"/>
          <w:sz w:val="28"/>
        </w:rPr>
        <w:t xml:space="preserve"> на территории </w:t>
      </w:r>
      <w:r>
        <w:rPr>
          <w:rFonts w:ascii="Times New Roman" w:hAnsi="Times New Roman"/>
          <w:b w:val="0"/>
          <w:sz w:val="28"/>
        </w:rPr>
        <w:t>Ленинградского муниципального округа</w:t>
      </w:r>
      <w:r>
        <w:rPr>
          <w:sz w:val="28"/>
        </w:rPr>
        <w:t>»</w:t>
      </w:r>
      <w:r>
        <w:rPr>
          <w:sz w:val="28"/>
        </w:rPr>
        <w:t xml:space="preserve"> </w:t>
      </w:r>
      <w:r>
        <w:rPr>
          <w:sz w:val="28"/>
        </w:rPr>
        <w:t xml:space="preserve">(далее – </w:t>
      </w:r>
      <w:r>
        <w:rPr>
          <w:sz w:val="28"/>
        </w:rPr>
        <w:t>П</w:t>
      </w:r>
      <w:r>
        <w:rPr>
          <w:sz w:val="28"/>
        </w:rPr>
        <w:t>роект</w:t>
      </w:r>
      <w:r>
        <w:rPr>
          <w:sz w:val="28"/>
        </w:rPr>
        <w:t>)</w:t>
      </w:r>
      <w:r>
        <w:rPr>
          <w:sz w:val="28"/>
        </w:rPr>
        <w:t>,</w:t>
      </w:r>
      <w:r>
        <w:rPr>
          <w:sz w:val="28"/>
        </w:rPr>
        <w:t xml:space="preserve"> направленный с</w:t>
      </w:r>
      <w:r>
        <w:rPr>
          <w:rFonts w:ascii="Times New Roman" w:hAnsi="Times New Roman"/>
          <w:color w:themeColor="text1" w:val="000000"/>
          <w:sz w:val="28"/>
        </w:rPr>
        <w:t xml:space="preserve">ектором потребительской сферы отдела </w:t>
      </w:r>
      <w:r>
        <w:rPr>
          <w:sz w:val="28"/>
        </w:rPr>
        <w:t>экономики админи</w:t>
      </w:r>
      <w:r>
        <w:rPr>
          <w:sz w:val="28"/>
        </w:rPr>
        <w:t xml:space="preserve">страции Ленинградского муниципального округа </w:t>
      </w:r>
      <w:r>
        <w:rPr>
          <w:sz w:val="28"/>
        </w:rPr>
        <w:t xml:space="preserve">(далее - </w:t>
      </w:r>
      <w:r>
        <w:rPr>
          <w:sz w:val="28"/>
        </w:rPr>
        <w:t>Разработчик)</w:t>
      </w:r>
      <w:r>
        <w:rPr>
          <w:sz w:val="28"/>
        </w:rPr>
        <w:t xml:space="preserve"> </w:t>
      </w:r>
      <w:r>
        <w:rPr>
          <w:sz w:val="28"/>
        </w:rPr>
        <w:t xml:space="preserve">для подготовки </w:t>
      </w:r>
      <w:r>
        <w:rPr>
          <w:sz w:val="28"/>
        </w:rPr>
        <w:t>настоящего Заключения</w:t>
      </w:r>
      <w:r>
        <w:rPr>
          <w:sz w:val="28"/>
        </w:rPr>
        <w:t>,</w:t>
      </w:r>
      <w:r>
        <w:rPr>
          <w:sz w:val="28"/>
        </w:rPr>
        <w:t xml:space="preserve"> и сообщает следующее</w:t>
      </w:r>
      <w:r>
        <w:rPr>
          <w:sz w:val="28"/>
        </w:rPr>
        <w:t>.</w:t>
      </w:r>
    </w:p>
    <w:p w14:paraId="13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 xml:space="preserve">В соответствии с Порядком </w:t>
      </w:r>
      <w:r>
        <w:rPr>
          <w:sz w:val="28"/>
        </w:rPr>
        <w:t xml:space="preserve">проведения оценки регулирующего воздействия проектов муниципальных правовых актов Ленинградского муниципального округа,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</w:t>
      </w:r>
      <w:r>
        <w:rPr>
          <w:sz w:val="28"/>
        </w:rPr>
        <w:t xml:space="preserve">(далее - </w:t>
      </w:r>
      <w:r>
        <w:rPr>
          <w:sz w:val="28"/>
        </w:rPr>
        <w:t>Порядок) проект подлежит проведению оценки регулирующего воздействия.</w:t>
      </w:r>
    </w:p>
    <w:p w14:paraId="14000000">
      <w:pPr>
        <w:widowControl w:val="1"/>
        <w:ind w:firstLine="540"/>
        <w:jc w:val="both"/>
        <w:outlineLvl w:val="0"/>
        <w:rPr>
          <w:sz w:val="28"/>
        </w:rPr>
      </w:pPr>
      <w:r>
        <w:rPr>
          <w:sz w:val="28"/>
        </w:rPr>
        <w:t>Степень регулирующего воздействия -  средняя</w:t>
      </w:r>
      <w:r>
        <w:rPr>
          <w:sz w:val="28"/>
        </w:rPr>
        <w:t xml:space="preserve">.   </w:t>
      </w:r>
    </w:p>
    <w:p w14:paraId="15000000">
      <w:pPr>
        <w:widowControl w:val="1"/>
        <w:ind w:firstLine="540"/>
        <w:jc w:val="both"/>
        <w:outlineLvl w:val="0"/>
        <w:rPr>
          <w:sz w:val="28"/>
        </w:rPr>
      </w:pPr>
      <w:r>
        <w:rPr>
          <w:rFonts w:ascii="Times New Roman" w:hAnsi="Times New Roman"/>
          <w:sz w:val="28"/>
        </w:rPr>
        <w:t>Проект муниципального правового акта содержит пол</w:t>
      </w:r>
      <w:r>
        <w:rPr>
          <w:rFonts w:ascii="Times New Roman" w:hAnsi="Times New Roman"/>
          <w:sz w:val="28"/>
        </w:rPr>
        <w:t>ожения, изменяющие ранее предусмотренные муниципальными правовыми актами обязательные требования</w:t>
      </w:r>
      <w:r>
        <w:rPr>
          <w:rFonts w:ascii="Times New Roman" w:hAnsi="Times New Roman"/>
          <w:sz w:val="28"/>
        </w:rPr>
        <w:t>, обязанности и запреты</w:t>
      </w:r>
      <w:r>
        <w:rPr>
          <w:rFonts w:ascii="Times New Roman" w:hAnsi="Times New Roman"/>
          <w:sz w:val="28"/>
        </w:rPr>
        <w:t xml:space="preserve"> для субъектов предпринимательской и иной экономической деятельности, обязанности</w:t>
      </w:r>
      <w:r>
        <w:rPr>
          <w:rFonts w:ascii="Times New Roman" w:hAnsi="Times New Roman"/>
          <w:sz w:val="28"/>
        </w:rPr>
        <w:t xml:space="preserve"> и запреты</w:t>
      </w:r>
      <w:r>
        <w:rPr>
          <w:rFonts w:ascii="Times New Roman" w:hAnsi="Times New Roman"/>
          <w:sz w:val="28"/>
        </w:rPr>
        <w:t xml:space="preserve"> для субъектов </w:t>
      </w:r>
      <w:r>
        <w:rPr>
          <w:rFonts w:ascii="Times New Roman" w:hAnsi="Times New Roman"/>
          <w:sz w:val="28"/>
        </w:rPr>
        <w:t>инвестиционной деятельности.</w:t>
      </w:r>
    </w:p>
    <w:p w14:paraId="16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 xml:space="preserve">По результатам рассмотрения установлено, что при подготовке </w:t>
      </w:r>
      <w:r>
        <w:rPr>
          <w:sz w:val="28"/>
        </w:rPr>
        <w:t>П</w:t>
      </w:r>
      <w:r>
        <w:rPr>
          <w:sz w:val="28"/>
        </w:rPr>
        <w:t>роекта требования Порядка Разработчиком соблюдены.</w:t>
      </w:r>
    </w:p>
    <w:p w14:paraId="17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 xml:space="preserve">Проект направлен Разработчиком для проведения оценки регулирующего </w:t>
      </w:r>
      <w:r>
        <w:rPr>
          <w:sz w:val="28"/>
        </w:rPr>
        <w:t>воздействия впервые.</w:t>
      </w:r>
    </w:p>
    <w:p w14:paraId="18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 xml:space="preserve">Проведен анализ результатов исследований, проводимых регулирующим </w:t>
      </w:r>
      <w:r>
        <w:rPr>
          <w:sz w:val="28"/>
        </w:rPr>
        <w:t>органом</w:t>
      </w:r>
      <w:r>
        <w:rPr>
          <w:sz w:val="28"/>
        </w:rPr>
        <w:t xml:space="preserve"> </w:t>
      </w:r>
      <w:r>
        <w:rPr>
          <w:sz w:val="28"/>
        </w:rPr>
        <w:t xml:space="preserve">с учетом установления полноты рассмотрения </w:t>
      </w:r>
      <w:r>
        <w:rPr>
          <w:sz w:val="28"/>
        </w:rPr>
        <w:t xml:space="preserve">регулирующим органом </w:t>
      </w:r>
      <w:r>
        <w:rPr>
          <w:sz w:val="28"/>
        </w:rPr>
        <w:t xml:space="preserve">всех возможных вариантов правового регулирования выявленной проблемы, а также эффективности способов решения проблемы в сравнении с действующим </w:t>
      </w:r>
      <w:r>
        <w:rPr>
          <w:sz w:val="28"/>
        </w:rPr>
        <w:t xml:space="preserve">на момент проведения процедуры оценки регулирующего воздействия </w:t>
      </w:r>
      <w:r>
        <w:rPr>
          <w:sz w:val="28"/>
        </w:rPr>
        <w:t xml:space="preserve">правовым </w:t>
      </w:r>
      <w:r>
        <w:rPr>
          <w:sz w:val="28"/>
        </w:rPr>
        <w:t xml:space="preserve">регулированием рассматриваемой сферы общественных отношений. </w:t>
      </w:r>
    </w:p>
    <w:p w14:paraId="19000000">
      <w:pPr>
        <w:widowControl w:val="1"/>
        <w:ind/>
        <w:jc w:val="both"/>
        <w:outlineLvl w:val="0"/>
        <w:rPr>
          <w:b w:val="0"/>
          <w:sz w:val="28"/>
        </w:rPr>
      </w:pPr>
      <w:r>
        <w:rPr>
          <w:b w:val="0"/>
          <w:sz w:val="28"/>
        </w:rPr>
        <w:tab/>
      </w:r>
      <w:r>
        <w:rPr>
          <w:b w:val="0"/>
          <w:sz w:val="28"/>
        </w:rPr>
        <w:t>Р</w:t>
      </w:r>
      <w:r>
        <w:rPr>
          <w:b w:val="0"/>
          <w:sz w:val="28"/>
        </w:rPr>
        <w:t>азработчиком предложен один вариант правового регулирования –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 xml:space="preserve">принятие </w:t>
      </w:r>
      <w:r>
        <w:rPr>
          <w:b w:val="0"/>
          <w:sz w:val="28"/>
        </w:rPr>
        <w:t xml:space="preserve">постановления администрации муниципального образования Ленинградский муниципальный округ </w:t>
      </w:r>
      <w:r>
        <w:rPr>
          <w:b w:val="0"/>
          <w:sz w:val="28"/>
        </w:rPr>
        <w:t xml:space="preserve">Краснодарского края </w:t>
      </w:r>
      <w:r>
        <w:rPr>
          <w:b w:val="0"/>
          <w:sz w:val="28"/>
        </w:rPr>
        <w:t>«</w:t>
      </w:r>
      <w:r>
        <w:rPr>
          <w:rFonts w:ascii="Times New Roman" w:hAnsi="Times New Roman"/>
          <w:b w:val="0"/>
          <w:sz w:val="28"/>
        </w:rPr>
        <w:t xml:space="preserve">О внесении изменений в постановление </w:t>
      </w:r>
      <w:r>
        <w:rPr>
          <w:rFonts w:ascii="Times New Roman" w:hAnsi="Times New Roman"/>
          <w:b w:val="0"/>
          <w:sz w:val="28"/>
        </w:rPr>
        <w:t>администрации муниципального образов</w:t>
      </w:r>
      <w:r>
        <w:rPr>
          <w:rFonts w:ascii="Times New Roman" w:hAnsi="Times New Roman"/>
          <w:b w:val="0"/>
          <w:sz w:val="28"/>
        </w:rPr>
        <w:t>ания Ленинградский муниципальный округ Краснодарского края о</w:t>
      </w:r>
      <w:r>
        <w:rPr>
          <w:rFonts w:ascii="Times New Roman" w:hAnsi="Times New Roman"/>
          <w:b w:val="0"/>
          <w:sz w:val="28"/>
        </w:rPr>
        <w:t xml:space="preserve">т </w:t>
      </w:r>
      <w:r>
        <w:rPr>
          <w:rFonts w:ascii="Times New Roman" w:hAnsi="Times New Roman"/>
          <w:b w:val="0"/>
          <w:sz w:val="28"/>
        </w:rPr>
        <w:t xml:space="preserve">6 октября 2025 г. </w:t>
      </w:r>
      <w:r>
        <w:rPr>
          <w:rFonts w:ascii="Times New Roman" w:hAnsi="Times New Roman"/>
          <w:b w:val="0"/>
          <w:sz w:val="28"/>
        </w:rPr>
        <w:t>№ 1422 «</w:t>
      </w:r>
      <w:r>
        <w:rPr>
          <w:rFonts w:ascii="Times New Roman" w:hAnsi="Times New Roman"/>
          <w:b w:val="0"/>
          <w:sz w:val="28"/>
        </w:rPr>
        <w:t xml:space="preserve">Об </w:t>
      </w:r>
      <w:r>
        <w:rPr>
          <w:rFonts w:ascii="Times New Roman" w:hAnsi="Times New Roman"/>
          <w:b w:val="0"/>
          <w:sz w:val="28"/>
        </w:rPr>
        <w:t xml:space="preserve">утверждении Положения о размещении </w:t>
      </w:r>
      <w:r>
        <w:rPr>
          <w:rFonts w:ascii="Times New Roman" w:hAnsi="Times New Roman"/>
          <w:b w:val="0"/>
          <w:sz w:val="28"/>
        </w:rPr>
        <w:t xml:space="preserve">нестационарных торговых объектов </w:t>
      </w:r>
      <w:r>
        <w:rPr>
          <w:rFonts w:ascii="Times New Roman" w:hAnsi="Times New Roman"/>
          <w:b w:val="0"/>
          <w:sz w:val="28"/>
        </w:rPr>
        <w:t xml:space="preserve"> на территории </w:t>
      </w:r>
      <w:r>
        <w:rPr>
          <w:rFonts w:ascii="Times New Roman" w:hAnsi="Times New Roman"/>
          <w:b w:val="0"/>
          <w:sz w:val="28"/>
        </w:rPr>
        <w:t>Ленинградского муниципального округа</w:t>
      </w:r>
      <w:r>
        <w:rPr>
          <w:rFonts w:ascii="Times New Roman" w:hAnsi="Times New Roman"/>
          <w:b w:val="0"/>
          <w:sz w:val="28"/>
        </w:rPr>
        <w:t>»</w:t>
      </w:r>
      <w:r>
        <w:rPr>
          <w:b w:val="0"/>
          <w:sz w:val="28"/>
        </w:rPr>
        <w:t>.</w:t>
      </w:r>
    </w:p>
    <w:p w14:paraId="1A000000">
      <w:pPr>
        <w:widowControl w:val="1"/>
        <w:ind/>
        <w:jc w:val="both"/>
        <w:outlineLvl w:val="0"/>
        <w:rPr>
          <w:sz w:val="28"/>
        </w:rPr>
      </w:pPr>
      <w:r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 xml:space="preserve"> В качестве альтернативы рассмотрен вариант непринятия муниципального </w:t>
      </w:r>
      <w:r>
        <w:rPr>
          <w:rFonts w:ascii="Times New Roman" w:hAnsi="Times New Roman"/>
          <w:sz w:val="28"/>
        </w:rPr>
        <w:t xml:space="preserve">правового акта. </w:t>
      </w:r>
    </w:p>
    <w:p w14:paraId="1B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Проведено сравнение указанных вариантов правового регулирования. </w:t>
      </w:r>
      <w:r>
        <w:rPr>
          <w:rFonts w:ascii="Times New Roman" w:hAnsi="Times New Roman"/>
          <w:sz w:val="28"/>
        </w:rPr>
        <w:t xml:space="preserve">Выбор варианта правового регулирования сделан исходя из оценки </w:t>
      </w:r>
      <w:r>
        <w:rPr>
          <w:rFonts w:ascii="Times New Roman" w:hAnsi="Times New Roman"/>
          <w:sz w:val="28"/>
        </w:rPr>
        <w:t>возможности достижения заявленн</w:t>
      </w:r>
      <w:r>
        <w:rPr>
          <w:rFonts w:ascii="Times New Roman" w:hAnsi="Times New Roman"/>
          <w:sz w:val="28"/>
        </w:rPr>
        <w:t>ой</w:t>
      </w:r>
      <w:r>
        <w:rPr>
          <w:rFonts w:ascii="Times New Roman" w:hAnsi="Times New Roman"/>
          <w:sz w:val="28"/>
        </w:rPr>
        <w:t xml:space="preserve"> цел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регулирования</w:t>
      </w:r>
      <w:r>
        <w:rPr>
          <w:rFonts w:ascii="Times New Roman" w:hAnsi="Times New Roman"/>
          <w:sz w:val="28"/>
        </w:rPr>
        <w:t xml:space="preserve"> и оценки рисков </w:t>
      </w:r>
      <w:r>
        <w:rPr>
          <w:rFonts w:ascii="Times New Roman" w:hAnsi="Times New Roman"/>
          <w:sz w:val="28"/>
        </w:rPr>
        <w:t>наступления неблагоприятных последствий</w:t>
      </w:r>
      <w:r>
        <w:rPr>
          <w:rFonts w:ascii="Times New Roman" w:hAnsi="Times New Roman"/>
          <w:sz w:val="28"/>
        </w:rPr>
        <w:t xml:space="preserve">. </w:t>
      </w:r>
    </w:p>
    <w:p w14:paraId="1C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 xml:space="preserve">Проведена оценка эффективности </w:t>
      </w:r>
      <w:r>
        <w:rPr>
          <w:sz w:val="28"/>
        </w:rPr>
        <w:t xml:space="preserve">предлагаемого варианта правового регулирования, </w:t>
      </w:r>
      <w:r>
        <w:rPr>
          <w:sz w:val="28"/>
        </w:rPr>
        <w:t>основанн</w:t>
      </w:r>
      <w:r>
        <w:rPr>
          <w:sz w:val="28"/>
        </w:rPr>
        <w:t>ого</w:t>
      </w:r>
      <w:r>
        <w:rPr>
          <w:sz w:val="28"/>
        </w:rPr>
        <w:t xml:space="preserve"> на сведениях, содержащихся в соответствующих разделах сводного отчета, и установлено следующее:   </w:t>
      </w:r>
    </w:p>
    <w:p w14:paraId="1D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роблема</w:t>
      </w:r>
      <w:r>
        <w:rPr>
          <w:rFonts w:ascii="Times New Roman" w:hAnsi="Times New Roman"/>
          <w:sz w:val="28"/>
        </w:rPr>
        <w:t xml:space="preserve">, на решение которой направлено правовое регулирование, </w:t>
      </w:r>
      <w:r>
        <w:rPr>
          <w:rFonts w:ascii="Times New Roman" w:hAnsi="Times New Roman"/>
          <w:sz w:val="28"/>
        </w:rPr>
        <w:t>сформирована точно</w:t>
      </w:r>
      <w:r>
        <w:rPr>
          <w:rFonts w:ascii="Times New Roman" w:hAnsi="Times New Roman"/>
          <w:sz w:val="28"/>
        </w:rPr>
        <w:t>;</w:t>
      </w:r>
    </w:p>
    <w:p w14:paraId="1E000000">
      <w:pPr>
        <w:widowControl w:val="1"/>
        <w:tabs>
          <w:tab w:leader="none" w:pos="993" w:val="left"/>
        </w:tabs>
        <w:ind w:firstLine="567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</w:t>
      </w:r>
      <w:r>
        <w:rPr>
          <w:sz w:val="28"/>
        </w:rPr>
        <w:t xml:space="preserve">определены потенциальные адресаты предлагаемого правового </w:t>
      </w:r>
      <w:r>
        <w:rPr>
          <w:sz w:val="28"/>
        </w:rPr>
        <w:t>регулиро</w:t>
      </w:r>
      <w:r>
        <w:rPr>
          <w:sz w:val="28"/>
        </w:rPr>
        <w:t xml:space="preserve">вания: </w:t>
      </w:r>
      <w:r>
        <w:rPr>
          <w:rFonts w:ascii="Times New Roman" w:hAnsi="Times New Roman"/>
          <w:sz w:val="28"/>
        </w:rPr>
        <w:t xml:space="preserve">юридические лица, индивидуальные предприниматели </w:t>
      </w:r>
      <w:r>
        <w:rPr>
          <w:rFonts w:ascii="Times New Roman" w:hAnsi="Times New Roman"/>
          <w:sz w:val="28"/>
        </w:rPr>
        <w:t xml:space="preserve">и физические лица, не являющиеся индивидуальными предпринимателями и применяющие специальный налоговый режим «Налог на профессиональный доход» (далее – </w:t>
      </w:r>
      <w:r>
        <w:rPr>
          <w:rFonts w:ascii="Times New Roman" w:hAnsi="Times New Roman"/>
          <w:sz w:val="28"/>
        </w:rPr>
        <w:t>самозанятые</w:t>
      </w:r>
      <w:r>
        <w:rPr>
          <w:rFonts w:ascii="Times New Roman" w:hAnsi="Times New Roman"/>
          <w:sz w:val="28"/>
        </w:rPr>
        <w:t xml:space="preserve">) </w:t>
      </w:r>
      <w:r>
        <w:rPr>
          <w:rFonts w:ascii="Times New Roman" w:hAnsi="Times New Roman"/>
          <w:sz w:val="28"/>
        </w:rPr>
        <w:t xml:space="preserve">желающие осуществлять торговую деятельность в </w:t>
      </w:r>
      <w:r>
        <w:rPr>
          <w:rFonts w:ascii="Times New Roman" w:hAnsi="Times New Roman"/>
          <w:sz w:val="28"/>
        </w:rPr>
        <w:t>нестационарных объектах</w:t>
      </w:r>
      <w:r>
        <w:rPr>
          <w:sz w:val="28"/>
        </w:rPr>
        <w:t>;</w:t>
      </w:r>
    </w:p>
    <w:p w14:paraId="1F000000">
      <w:pPr>
        <w:widowControl w:val="1"/>
        <w:tabs>
          <w:tab w:leader="none" w:pos="993" w:val="left"/>
        </w:tabs>
        <w:ind w:firstLine="567"/>
        <w:jc w:val="both"/>
        <w:rPr>
          <w:rFonts w:ascii="Times New Roman" w:hAnsi="Times New Roman"/>
          <w:b w:val="0"/>
          <w:sz w:val="28"/>
        </w:rPr>
      </w:pPr>
      <w:r>
        <w:rPr>
          <w:sz w:val="28"/>
        </w:rPr>
        <w:t>- к</w:t>
      </w:r>
      <w:r>
        <w:rPr>
          <w:sz w:val="28"/>
        </w:rPr>
        <w:t xml:space="preserve">оличественная </w:t>
      </w:r>
      <w:r>
        <w:rPr>
          <w:sz w:val="28"/>
        </w:rPr>
        <w:t xml:space="preserve">оценка участников: </w:t>
      </w:r>
      <w:r>
        <w:rPr>
          <w:rFonts w:ascii="Times New Roman" w:hAnsi="Times New Roman"/>
          <w:b w:val="0"/>
          <w:sz w:val="28"/>
        </w:rPr>
        <w:t>по состоянию на 1 октября 2026 г. на территории Ленинградского муниципального округа, на частной территории размещено 59 объекта;</w:t>
      </w:r>
    </w:p>
    <w:p w14:paraId="20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цел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 xml:space="preserve"> предлагаемого </w:t>
      </w:r>
      <w:r>
        <w:rPr>
          <w:rFonts w:ascii="Times New Roman" w:hAnsi="Times New Roman"/>
          <w:sz w:val="28"/>
        </w:rPr>
        <w:t>проектом правового регулирования определена объективно</w:t>
      </w:r>
      <w:r>
        <w:rPr>
          <w:rFonts w:ascii="Times New Roman" w:hAnsi="Times New Roman"/>
          <w:sz w:val="28"/>
        </w:rPr>
        <w:t>;</w:t>
      </w:r>
    </w:p>
    <w:p w14:paraId="21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срок достижения заявленных целей: с даты вступления в силу постановления</w:t>
      </w:r>
      <w:r>
        <w:rPr>
          <w:rFonts w:ascii="Times New Roman" w:hAnsi="Times New Roman"/>
          <w:sz w:val="28"/>
        </w:rPr>
        <w:t>, в связи с чем отсутствует необходимость в последующем мониторинге достижения целей</w:t>
      </w:r>
      <w:r>
        <w:rPr>
          <w:rFonts w:ascii="Times New Roman" w:hAnsi="Times New Roman"/>
          <w:sz w:val="28"/>
        </w:rPr>
        <w:t>;</w:t>
      </w:r>
    </w:p>
    <w:p w14:paraId="22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дополнительны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расход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местного бюджета (бюджета </w:t>
      </w:r>
      <w:r>
        <w:rPr>
          <w:rFonts w:ascii="Times New Roman" w:hAnsi="Times New Roman"/>
          <w:sz w:val="28"/>
        </w:rPr>
        <w:t xml:space="preserve">Ленинградского </w:t>
      </w:r>
      <w:r>
        <w:rPr>
          <w:rFonts w:ascii="Times New Roman" w:hAnsi="Times New Roman"/>
          <w:sz w:val="28"/>
        </w:rPr>
        <w:t>муниципального о</w:t>
      </w:r>
      <w:r>
        <w:rPr>
          <w:rFonts w:ascii="Times New Roman" w:hAnsi="Times New Roman"/>
          <w:sz w:val="28"/>
        </w:rPr>
        <w:t>круга</w:t>
      </w:r>
      <w:r>
        <w:rPr>
          <w:rFonts w:ascii="Times New Roman" w:hAnsi="Times New Roman"/>
          <w:sz w:val="28"/>
        </w:rPr>
        <w:t>), связанны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с введением предлагаемого правового регулирования</w:t>
      </w:r>
      <w:r>
        <w:rPr>
          <w:rFonts w:ascii="Times New Roman" w:hAnsi="Times New Roman"/>
          <w:sz w:val="28"/>
        </w:rPr>
        <w:t xml:space="preserve"> не предполагаются</w:t>
      </w:r>
      <w:r>
        <w:rPr>
          <w:rFonts w:ascii="Times New Roman" w:hAnsi="Times New Roman"/>
          <w:sz w:val="28"/>
        </w:rPr>
        <w:t>;</w:t>
      </w:r>
    </w:p>
    <w:p w14:paraId="23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риски введения предлагаемого правового регулирования </w:t>
      </w:r>
      <w:r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t>отсутствуют</w:t>
      </w:r>
      <w:r>
        <w:rPr>
          <w:rFonts w:ascii="Times New Roman" w:hAnsi="Times New Roman"/>
          <w:sz w:val="28"/>
        </w:rPr>
        <w:t>.</w:t>
      </w:r>
    </w:p>
    <w:p w14:paraId="24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Порядком установлено следующее:</w:t>
      </w:r>
    </w:p>
    <w:p w14:paraId="25000000">
      <w:pPr>
        <w:widowControl w:val="1"/>
        <w:tabs>
          <w:tab w:leader="none" w:pos="993" w:val="left"/>
        </w:tabs>
        <w:ind w:firstLine="567"/>
        <w:jc w:val="both"/>
        <w:rPr>
          <w:color w:val="000000"/>
          <w:sz w:val="28"/>
        </w:rPr>
      </w:pPr>
      <w:r>
        <w:rPr>
          <w:sz w:val="28"/>
        </w:rPr>
        <w:t>1</w:t>
      </w:r>
      <w:r>
        <w:rPr>
          <w:color w:themeColor="text1" w:val="000000"/>
          <w:sz w:val="28"/>
        </w:rPr>
        <w:t>. Потенциальными группами участников общественных отношений, интересы которых будут затронуты правовым регулированием, являются</w:t>
      </w:r>
      <w:r>
        <w:rPr>
          <w:color w:themeColor="text1" w:val="000000"/>
          <w:sz w:val="28"/>
        </w:rPr>
        <w:t>:</w:t>
      </w:r>
      <w:r>
        <w:rPr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юридические лица, индивидуальные предприниматели </w:t>
      </w:r>
      <w:r>
        <w:rPr>
          <w:rFonts w:ascii="Times New Roman" w:hAnsi="Times New Roman"/>
          <w:b w:val="0"/>
          <w:sz w:val="28"/>
        </w:rPr>
        <w:t xml:space="preserve">и физические лица, не являющиеся индивидуальными предпринимателями и применяющие специальный налоговый режим «Налог на профессиональный доход» (далее – </w:t>
      </w:r>
      <w:r>
        <w:rPr>
          <w:rFonts w:ascii="Times New Roman" w:hAnsi="Times New Roman"/>
          <w:b w:val="0"/>
          <w:sz w:val="28"/>
        </w:rPr>
        <w:t>самозанятые</w:t>
      </w:r>
      <w:r>
        <w:rPr>
          <w:rFonts w:ascii="Times New Roman" w:hAnsi="Times New Roman"/>
          <w:b w:val="0"/>
          <w:sz w:val="28"/>
        </w:rPr>
        <w:t xml:space="preserve">) </w:t>
      </w:r>
      <w:r>
        <w:rPr>
          <w:rFonts w:ascii="Times New Roman" w:hAnsi="Times New Roman"/>
          <w:b w:val="0"/>
          <w:sz w:val="28"/>
        </w:rPr>
        <w:t>желающие осуществлять торговую деятельность в нестационарных объектах</w:t>
      </w:r>
      <w:r>
        <w:rPr>
          <w:color w:themeColor="text1" w:val="000000"/>
          <w:sz w:val="28"/>
        </w:rPr>
        <w:t>.</w:t>
      </w:r>
    </w:p>
    <w:p w14:paraId="26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2. Проблема, на решение которой направлено правовое регулирование, заключается в</w:t>
      </w:r>
      <w:r>
        <w:rPr>
          <w:sz w:val="28"/>
        </w:rPr>
        <w:t xml:space="preserve"> следующем</w:t>
      </w:r>
      <w:r>
        <w:rPr>
          <w:sz w:val="28"/>
        </w:rPr>
        <w:t>:</w:t>
      </w:r>
    </w:p>
    <w:p w14:paraId="27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отсутствие оснований внесения НТО </w:t>
      </w:r>
      <w:r>
        <w:rPr>
          <w:rFonts w:ascii="Times New Roman" w:hAnsi="Times New Roman"/>
          <w:sz w:val="28"/>
        </w:rPr>
        <w:t>размещенны</w:t>
      </w:r>
      <w:r>
        <w:rPr>
          <w:rFonts w:ascii="Times New Roman" w:hAnsi="Times New Roman"/>
          <w:sz w:val="28"/>
        </w:rPr>
        <w:t xml:space="preserve">х </w:t>
      </w:r>
      <w:r>
        <w:rPr>
          <w:rFonts w:ascii="Times New Roman" w:hAnsi="Times New Roman"/>
          <w:color w:themeColor="text1" w:val="000000"/>
          <w:sz w:val="28"/>
        </w:rPr>
        <w:t>на земельных участках</w:t>
      </w:r>
      <w:r>
        <w:rPr>
          <w:rFonts w:ascii="Times New Roman" w:hAnsi="Times New Roman"/>
          <w:sz w:val="28"/>
        </w:rPr>
        <w:t>, нах</w:t>
      </w:r>
      <w:r>
        <w:rPr>
          <w:rFonts w:ascii="Times New Roman" w:hAnsi="Times New Roman"/>
          <w:sz w:val="28"/>
        </w:rPr>
        <w:t>одящихся в частной собственности в</w:t>
      </w:r>
      <w:r>
        <w:rPr>
          <w:rFonts w:ascii="Times New Roman" w:hAnsi="Times New Roman"/>
          <w:b w:val="0"/>
          <w:sz w:val="28"/>
        </w:rPr>
        <w:t xml:space="preserve"> схему размещения НТО на территории Ленинградского муниципального округа;</w:t>
      </w:r>
    </w:p>
    <w:p w14:paraId="28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несоответствие МПА </w:t>
      </w:r>
      <w:r>
        <w:rPr>
          <w:rFonts w:ascii="Times New Roman" w:hAnsi="Times New Roman"/>
          <w:sz w:val="28"/>
        </w:rPr>
        <w:t>п</w:t>
      </w:r>
      <w:r>
        <w:rPr>
          <w:rStyle w:val="Style_4_ch"/>
          <w:rFonts w:ascii="Times New Roman" w:hAnsi="Times New Roman"/>
          <w:sz w:val="28"/>
        </w:rPr>
        <w:t xml:space="preserve">остановлению Губернатора Краснодарского края от 31 августа 2026 г. № 566 «О внесении изменений в постановление главы администрации (губернатора) Краснодарского края от 11 ноября 2014 г. № 1249 «Об утверждении Порядка разработки и утверждения органами местного самоуправления схем размещения нестационарных торговых объектов на </w:t>
      </w:r>
      <w:r>
        <w:rPr>
          <w:rStyle w:val="Style_4_ch"/>
          <w:rFonts w:ascii="Times New Roman" w:hAnsi="Times New Roman"/>
          <w:sz w:val="28"/>
        </w:rPr>
        <w:t>территории Краснодарского края»</w:t>
      </w:r>
      <w:r>
        <w:rPr>
          <w:rFonts w:ascii="Times New Roman" w:hAnsi="Times New Roman"/>
          <w:b w:val="0"/>
          <w:sz w:val="28"/>
        </w:rPr>
        <w:t>.</w:t>
      </w:r>
    </w:p>
    <w:p w14:paraId="29000000">
      <w:pPr>
        <w:widowControl w:val="1"/>
        <w:tabs>
          <w:tab w:leader="none" w:pos="1134" w:val="left"/>
          <w:tab w:leader="none" w:pos="1276" w:val="left"/>
          <w:tab w:leader="none" w:pos="1418" w:val="left"/>
          <w:tab w:leader="none" w:pos="1560" w:val="left"/>
        </w:tabs>
        <w:ind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</w:rPr>
        <w:t xml:space="preserve"> </w:t>
      </w:r>
      <w:r>
        <w:rPr>
          <w:sz w:val="28"/>
        </w:rPr>
        <w:t xml:space="preserve">Предусмотренное проектом правовое регулирование иными правовыми, информационными или организационными средствами не представляется </w:t>
      </w:r>
      <w:r>
        <w:rPr>
          <w:sz w:val="28"/>
        </w:rPr>
        <w:t>возможным.</w:t>
      </w:r>
    </w:p>
    <w:p w14:paraId="2A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sz w:val="28"/>
        </w:rPr>
        <w:t>3</w:t>
      </w:r>
      <w:r>
        <w:rPr>
          <w:sz w:val="28"/>
        </w:rPr>
        <w:t xml:space="preserve">. </w:t>
      </w:r>
      <w:r>
        <w:rPr>
          <w:sz w:val="28"/>
        </w:rPr>
        <w:t xml:space="preserve">Цель предлагаемого правового регулирования </w:t>
      </w:r>
      <w:r>
        <w:rPr>
          <w:sz w:val="28"/>
        </w:rPr>
        <w:t>–</w:t>
      </w:r>
      <w:r>
        <w:rPr>
          <w:sz w:val="28"/>
        </w:rPr>
        <w:t xml:space="preserve"> приведение в </w:t>
      </w:r>
      <w:r>
        <w:rPr>
          <w:rFonts w:ascii="Times New Roman" w:hAnsi="Times New Roman"/>
          <w:b w:val="0"/>
          <w:sz w:val="28"/>
        </w:rPr>
        <w:t xml:space="preserve">соответствие МПА </w:t>
      </w:r>
      <w:r>
        <w:rPr>
          <w:rFonts w:ascii="Times New Roman" w:hAnsi="Times New Roman"/>
          <w:sz w:val="28"/>
        </w:rPr>
        <w:t>п</w:t>
      </w:r>
      <w:r>
        <w:rPr>
          <w:rStyle w:val="Style_4_ch"/>
          <w:rFonts w:ascii="Times New Roman" w:hAnsi="Times New Roman"/>
          <w:sz w:val="28"/>
        </w:rPr>
        <w:t xml:space="preserve">остановлению Губернатора Краснодарского края от 31 </w:t>
      </w:r>
      <w:r>
        <w:rPr>
          <w:rStyle w:val="Style_4_ch"/>
          <w:rFonts w:ascii="Times New Roman" w:hAnsi="Times New Roman"/>
          <w:sz w:val="28"/>
        </w:rPr>
        <w:t xml:space="preserve">августа 2026 г. № 566 «О внесении изменений в постановление главы администрации (губернатора) Краснодарского края от 11 ноября 2014 г. № 1249 «Об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края» даст основание </w:t>
      </w:r>
      <w:r>
        <w:rPr>
          <w:rFonts w:ascii="Times New Roman" w:hAnsi="Times New Roman"/>
          <w:b w:val="0"/>
          <w:sz w:val="28"/>
        </w:rPr>
        <w:t xml:space="preserve">внесения НТО </w:t>
      </w:r>
      <w:r>
        <w:rPr>
          <w:rFonts w:ascii="Times New Roman" w:hAnsi="Times New Roman"/>
          <w:sz w:val="28"/>
        </w:rPr>
        <w:t>размещенны</w:t>
      </w:r>
      <w:r>
        <w:rPr>
          <w:rFonts w:ascii="Times New Roman" w:hAnsi="Times New Roman"/>
          <w:sz w:val="28"/>
        </w:rPr>
        <w:t xml:space="preserve">х </w:t>
      </w:r>
      <w:r>
        <w:rPr>
          <w:rFonts w:ascii="Times New Roman" w:hAnsi="Times New Roman"/>
          <w:color w:themeColor="text1" w:val="000000"/>
          <w:sz w:val="28"/>
        </w:rPr>
        <w:t>на земельных участках</w:t>
      </w:r>
      <w:r>
        <w:rPr>
          <w:rFonts w:ascii="Times New Roman" w:hAnsi="Times New Roman"/>
          <w:sz w:val="28"/>
        </w:rPr>
        <w:t>, нах</w:t>
      </w:r>
      <w:r>
        <w:rPr>
          <w:rFonts w:ascii="Times New Roman" w:hAnsi="Times New Roman"/>
          <w:sz w:val="28"/>
        </w:rPr>
        <w:t>одящихся в частной собственности в</w:t>
      </w:r>
      <w:r>
        <w:rPr>
          <w:rFonts w:ascii="Times New Roman" w:hAnsi="Times New Roman"/>
          <w:b w:val="0"/>
          <w:sz w:val="28"/>
        </w:rPr>
        <w:t xml:space="preserve"> схему </w:t>
      </w:r>
      <w:r>
        <w:rPr>
          <w:rFonts w:ascii="Times New Roman" w:hAnsi="Times New Roman"/>
          <w:b w:val="0"/>
          <w:sz w:val="28"/>
        </w:rPr>
        <w:t>размещения НТО на территории Ленинградского муниципального округа</w:t>
      </w:r>
      <w:r>
        <w:rPr>
          <w:rFonts w:ascii="Times New Roman" w:hAnsi="Times New Roman"/>
          <w:b w:val="0"/>
          <w:sz w:val="28"/>
        </w:rPr>
        <w:t>.</w:t>
      </w:r>
    </w:p>
    <w:p w14:paraId="2B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sz w:val="28"/>
        </w:rPr>
        <w:t>Цел</w:t>
      </w:r>
      <w:r>
        <w:rPr>
          <w:sz w:val="28"/>
        </w:rPr>
        <w:t>ь</w:t>
      </w:r>
      <w:r>
        <w:rPr>
          <w:sz w:val="28"/>
        </w:rPr>
        <w:t xml:space="preserve"> правового регулирования </w:t>
      </w:r>
      <w:r>
        <w:rPr>
          <w:sz w:val="28"/>
        </w:rPr>
        <w:t xml:space="preserve">соответствует </w:t>
      </w:r>
      <w:r>
        <w:rPr>
          <w:sz w:val="28"/>
        </w:rPr>
        <w:t xml:space="preserve">принципам правового регулирования, установленным </w:t>
      </w:r>
      <w:r>
        <w:rPr>
          <w:sz w:val="28"/>
        </w:rPr>
        <w:t xml:space="preserve">действующим </w:t>
      </w:r>
      <w:r>
        <w:rPr>
          <w:sz w:val="28"/>
        </w:rPr>
        <w:t xml:space="preserve">законодательством Российской </w:t>
      </w:r>
      <w:r>
        <w:rPr>
          <w:sz w:val="28"/>
        </w:rPr>
        <w:t>Федерации</w:t>
      </w:r>
      <w:r>
        <w:rPr>
          <w:sz w:val="28"/>
        </w:rPr>
        <w:t xml:space="preserve"> и </w:t>
      </w:r>
      <w:r>
        <w:rPr>
          <w:sz w:val="28"/>
        </w:rPr>
        <w:t>Краснодарского края.</w:t>
      </w:r>
    </w:p>
    <w:p w14:paraId="2C000000">
      <w:pPr>
        <w:pStyle w:val="Style_5"/>
        <w:widowControl w:val="1"/>
        <w:ind w:firstLine="540"/>
        <w:jc w:val="both"/>
        <w:rPr>
          <w:rFonts w:ascii="Times New Roman" w:hAnsi="Times New Roman"/>
          <w:sz w:val="28"/>
          <w:shd w:fill="F8D957" w:val="clear"/>
        </w:rPr>
      </w:pPr>
      <w:r>
        <w:rPr>
          <w:rFonts w:ascii="Times New Roman" w:hAnsi="Times New Roman"/>
          <w:sz w:val="28"/>
        </w:rPr>
        <w:t xml:space="preserve">4. </w:t>
      </w:r>
      <w:r>
        <w:rPr>
          <w:rFonts w:ascii="Times New Roman" w:hAnsi="Times New Roman"/>
          <w:sz w:val="28"/>
        </w:rPr>
        <w:t>Проект муниципального правового акта содержит пол</w:t>
      </w:r>
      <w:r>
        <w:rPr>
          <w:rFonts w:ascii="Times New Roman" w:hAnsi="Times New Roman"/>
          <w:sz w:val="28"/>
        </w:rPr>
        <w:t>ожения, изменяющие ранее предусмотренные муниципальными правовыми актами обязательные требования</w:t>
      </w:r>
      <w:r>
        <w:rPr>
          <w:rFonts w:ascii="Times New Roman" w:hAnsi="Times New Roman"/>
          <w:sz w:val="28"/>
        </w:rPr>
        <w:t>, обязанности и запреты</w:t>
      </w:r>
      <w:r>
        <w:rPr>
          <w:rFonts w:ascii="Times New Roman" w:hAnsi="Times New Roman"/>
          <w:sz w:val="28"/>
        </w:rPr>
        <w:t xml:space="preserve"> для субъектов предпринимательской и иной экономической деятельности, обязанности</w:t>
      </w:r>
      <w:r>
        <w:rPr>
          <w:rFonts w:ascii="Times New Roman" w:hAnsi="Times New Roman"/>
          <w:sz w:val="28"/>
        </w:rPr>
        <w:t xml:space="preserve"> и </w:t>
      </w:r>
      <w:r>
        <w:rPr>
          <w:rFonts w:ascii="Times New Roman" w:hAnsi="Times New Roman"/>
          <w:sz w:val="28"/>
        </w:rPr>
        <w:t>запреты</w:t>
      </w:r>
      <w:r>
        <w:rPr>
          <w:rFonts w:ascii="Times New Roman" w:hAnsi="Times New Roman"/>
          <w:sz w:val="28"/>
        </w:rPr>
        <w:t xml:space="preserve"> для субъектов </w:t>
      </w:r>
      <w:r>
        <w:rPr>
          <w:rFonts w:ascii="Times New Roman" w:hAnsi="Times New Roman"/>
          <w:sz w:val="28"/>
        </w:rPr>
        <w:t>инвестиционной деятельно</w:t>
      </w:r>
      <w:r>
        <w:rPr>
          <w:rFonts w:ascii="Times New Roman" w:hAnsi="Times New Roman"/>
          <w:sz w:val="28"/>
        </w:rPr>
        <w:t xml:space="preserve">сти: </w:t>
      </w:r>
      <w:r>
        <w:rPr>
          <w:rFonts w:ascii="Times New Roman" w:hAnsi="Times New Roman"/>
          <w:b w:val="0"/>
          <w:sz w:val="28"/>
        </w:rPr>
        <w:t xml:space="preserve">представление </w:t>
      </w:r>
      <w:r>
        <w:rPr>
          <w:rFonts w:ascii="Times New Roman" w:hAnsi="Times New Roman"/>
          <w:b w:val="0"/>
          <w:sz w:val="28"/>
        </w:rPr>
        <w:t xml:space="preserve">документов для включения </w:t>
      </w:r>
      <w:r>
        <w:rPr>
          <w:rFonts w:ascii="Times New Roman" w:hAnsi="Times New Roman"/>
          <w:b w:val="0"/>
          <w:sz w:val="28"/>
        </w:rPr>
        <w:t>в схему размещения НТО на территории Ленинградского муниципального округа в у</w:t>
      </w:r>
      <w:r>
        <w:rPr>
          <w:rFonts w:ascii="Times New Roman" w:hAnsi="Times New Roman"/>
          <w:sz w:val="28"/>
        </w:rPr>
        <w:t xml:space="preserve">полномоченный орган от имени администрации Ленинградского муниципального округа -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color w:themeColor="text1" w:val="000000"/>
          <w:sz w:val="28"/>
        </w:rPr>
        <w:t xml:space="preserve">ектор потребительской сферы отдела </w:t>
      </w:r>
      <w:r>
        <w:rPr>
          <w:rFonts w:ascii="Times New Roman" w:hAnsi="Times New Roman"/>
          <w:sz w:val="28"/>
        </w:rPr>
        <w:t>экономики админи</w:t>
      </w:r>
      <w:r>
        <w:rPr>
          <w:rFonts w:ascii="Times New Roman" w:hAnsi="Times New Roman"/>
          <w:sz w:val="28"/>
        </w:rPr>
        <w:t>страции муниципального округа.</w:t>
      </w:r>
    </w:p>
    <w:p w14:paraId="2D000000">
      <w:pPr>
        <w:pStyle w:val="Style_5"/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Полномочия администрации Ленинградского муниципального округа в отноше</w:t>
      </w:r>
      <w:r>
        <w:rPr>
          <w:rFonts w:ascii="Times New Roman" w:hAnsi="Times New Roman"/>
          <w:sz w:val="28"/>
        </w:rPr>
        <w:t xml:space="preserve">ниях с </w:t>
      </w:r>
      <w:r>
        <w:rPr>
          <w:rFonts w:ascii="Times New Roman" w:hAnsi="Times New Roman"/>
          <w:b w:val="0"/>
          <w:sz w:val="28"/>
        </w:rPr>
        <w:t>потенциальными адресатами предлагаемого правового регулирова</w:t>
      </w:r>
      <w:r>
        <w:rPr>
          <w:rFonts w:ascii="Times New Roman" w:hAnsi="Times New Roman"/>
          <w:b w:val="0"/>
          <w:sz w:val="28"/>
        </w:rPr>
        <w:t xml:space="preserve">ния: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b w:val="0"/>
          <w:sz w:val="28"/>
        </w:rPr>
        <w:t xml:space="preserve">ключение нестационарных торговых объектов находящихся на частной территории в схему размещения нестационарных </w:t>
      </w:r>
      <w:r>
        <w:rPr>
          <w:rFonts w:ascii="Times New Roman" w:hAnsi="Times New Roman"/>
          <w:b w:val="0"/>
          <w:sz w:val="28"/>
        </w:rPr>
        <w:t xml:space="preserve">торговых объектов находящихся на </w:t>
      </w:r>
      <w:r>
        <w:rPr>
          <w:rFonts w:ascii="Times New Roman" w:hAnsi="Times New Roman"/>
          <w:b w:val="0"/>
          <w:sz w:val="28"/>
        </w:rPr>
        <w:t>территории Ленинградского муниципального округа.</w:t>
      </w:r>
    </w:p>
    <w:p w14:paraId="2E000000">
      <w:pPr>
        <w:pStyle w:val="Style_5"/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bookmarkStart w:id="2" w:name="Par228"/>
      <w:bookmarkEnd w:id="2"/>
      <w:r>
        <w:rPr>
          <w:rFonts w:ascii="Times New Roman" w:hAnsi="Times New Roman"/>
          <w:sz w:val="28"/>
        </w:rPr>
        <w:t xml:space="preserve">5. </w:t>
      </w:r>
      <w:r>
        <w:rPr>
          <w:rFonts w:ascii="Times New Roman" w:hAnsi="Times New Roman"/>
          <w:sz w:val="28"/>
        </w:rPr>
        <w:t xml:space="preserve">Риски </w:t>
      </w:r>
      <w:r>
        <w:rPr>
          <w:rFonts w:ascii="Times New Roman" w:hAnsi="Times New Roman"/>
          <w:sz w:val="28"/>
        </w:rPr>
        <w:t>недостижения</w:t>
      </w:r>
      <w:r>
        <w:rPr>
          <w:rFonts w:ascii="Times New Roman" w:hAnsi="Times New Roman"/>
          <w:sz w:val="28"/>
        </w:rPr>
        <w:t xml:space="preserve"> целей правового регулирования</w:t>
      </w:r>
      <w:r>
        <w:rPr>
          <w:rFonts w:ascii="Times New Roman" w:hAnsi="Times New Roman"/>
          <w:sz w:val="28"/>
        </w:rPr>
        <w:t xml:space="preserve"> отсутствуют</w:t>
      </w:r>
      <w:r>
        <w:rPr>
          <w:rFonts w:ascii="Times New Roman" w:hAnsi="Times New Roman"/>
          <w:sz w:val="28"/>
        </w:rPr>
        <w:t>.</w:t>
      </w:r>
    </w:p>
    <w:p w14:paraId="2F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6. </w:t>
      </w:r>
      <w:r>
        <w:rPr>
          <w:rFonts w:ascii="Times New Roman" w:hAnsi="Times New Roman"/>
          <w:sz w:val="28"/>
        </w:rPr>
        <w:t>Дополнительные расходы районного бюджета (бюджета администра</w:t>
      </w:r>
      <w:r>
        <w:rPr>
          <w:rFonts w:ascii="Times New Roman" w:hAnsi="Times New Roman"/>
          <w:sz w:val="28"/>
        </w:rPr>
        <w:t xml:space="preserve">ции Ленинградского муниципального округа), </w:t>
      </w:r>
      <w:r>
        <w:rPr>
          <w:rFonts w:ascii="Times New Roman" w:hAnsi="Times New Roman"/>
          <w:sz w:val="28"/>
        </w:rPr>
        <w:t xml:space="preserve">понесенные от регулирующего </w:t>
      </w:r>
      <w:r>
        <w:rPr>
          <w:rFonts w:ascii="Times New Roman" w:hAnsi="Times New Roman"/>
          <w:sz w:val="28"/>
        </w:rPr>
        <w:t xml:space="preserve">воздействия предлагаемого проекта МПА, не </w:t>
      </w:r>
      <w:r>
        <w:rPr>
          <w:rFonts w:ascii="Times New Roman" w:hAnsi="Times New Roman"/>
          <w:sz w:val="28"/>
        </w:rPr>
        <w:t>предполагаются.</w:t>
      </w:r>
    </w:p>
    <w:p w14:paraId="30000000">
      <w:pPr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Расходы потенциальных адресатов предлагаемого правового регулирования </w:t>
      </w:r>
      <w:r>
        <w:rPr>
          <w:rFonts w:ascii="Times New Roman" w:hAnsi="Times New Roman"/>
          <w:sz w:val="28"/>
        </w:rPr>
        <w:t xml:space="preserve">предполагаются в виде информационных издержек на подготовку и представление в </w:t>
      </w:r>
      <w:r>
        <w:rPr>
          <w:rFonts w:ascii="Times New Roman" w:hAnsi="Times New Roman"/>
          <w:sz w:val="28"/>
        </w:rPr>
        <w:t xml:space="preserve">администрацию Ленинградского муниципального округа пакета </w:t>
      </w:r>
      <w:r>
        <w:rPr>
          <w:rFonts w:ascii="Times New Roman" w:hAnsi="Times New Roman"/>
          <w:sz w:val="28"/>
        </w:rPr>
        <w:t>докумен</w:t>
      </w:r>
      <w:r>
        <w:rPr>
          <w:rFonts w:ascii="Times New Roman" w:hAnsi="Times New Roman"/>
          <w:sz w:val="28"/>
        </w:rPr>
        <w:t xml:space="preserve">тов </w:t>
      </w:r>
      <w:r>
        <w:rPr>
          <w:rFonts w:ascii="Times New Roman" w:hAnsi="Times New Roman"/>
          <w:sz w:val="28"/>
        </w:rPr>
        <w:t>сос</w:t>
      </w:r>
      <w:r>
        <w:rPr>
          <w:rFonts w:ascii="Times New Roman" w:hAnsi="Times New Roman"/>
          <w:sz w:val="28"/>
        </w:rPr>
        <w:t>тавят при</w:t>
      </w:r>
      <w:r>
        <w:rPr>
          <w:rFonts w:ascii="Times New Roman" w:hAnsi="Times New Roman"/>
          <w:sz w:val="28"/>
        </w:rPr>
        <w:t xml:space="preserve">мерно </w:t>
      </w:r>
      <w:r>
        <w:rPr>
          <w:rFonts w:ascii="Times New Roman" w:hAnsi="Times New Roman"/>
          <w:b w:val="0"/>
          <w:sz w:val="28"/>
        </w:rPr>
        <w:t>1272,39</w:t>
      </w:r>
      <w:r>
        <w:rPr>
          <w:rFonts w:ascii="Times New Roman" w:hAnsi="Times New Roman"/>
          <w:b w:val="0"/>
          <w:sz w:val="28"/>
        </w:rPr>
        <w:t>руб. в расчете на 1 заявителя или 75071,1 руб. на 59 заявителей.</w:t>
      </w:r>
    </w:p>
    <w:tbl>
      <w:tblPr>
        <w:tblStyle w:val="Style_6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641"/>
      </w:tblGrid>
      <w:tr>
        <w:trPr>
          <w:trHeight w:hRule="atLeast" w:val="360"/>
        </w:trPr>
        <w:tc>
          <w:tcPr>
            <w:tcW w:type="dxa" w:w="9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00000">
            <w:pPr>
              <w:widowControl w:val="1"/>
              <w:spacing w:after="0" w:line="240" w:lineRule="auto"/>
              <w:ind w:firstLine="709"/>
              <w:jc w:val="both"/>
              <w:rPr>
                <w:rFonts w:ascii="Times New Roman" w:hAnsi="Times New Roman"/>
                <w:b w:val="0"/>
                <w:sz w:val="25"/>
              </w:rPr>
            </w:pPr>
            <w:r>
              <w:rPr>
                <w:rFonts w:ascii="Times New Roman" w:hAnsi="Times New Roman"/>
                <w:b w:val="0"/>
                <w:sz w:val="25"/>
              </w:rPr>
              <w:t xml:space="preserve">Согласно </w:t>
            </w:r>
            <w:r>
              <w:rPr>
                <w:rFonts w:ascii="Times New Roman" w:hAnsi="Times New Roman"/>
                <w:b w:val="0"/>
                <w:sz w:val="25"/>
              </w:rPr>
              <w:t>Методике оценки стандартных издержек субъектов</w:t>
            </w:r>
            <w:r>
              <w:rPr>
                <w:rFonts w:ascii="Times New Roman" w:hAnsi="Times New Roman"/>
                <w:b w:val="0"/>
                <w:sz w:val="25"/>
              </w:rPr>
              <w:t xml:space="preserve">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1 февраля 2024 г. № 54, информационные издержки регулирования включают в себя затраты на подготовку и представление информации в соответствии с требованиями проекта.</w:t>
            </w:r>
          </w:p>
          <w:p w14:paraId="32000000">
            <w:pPr>
              <w:widowControl w:val="1"/>
              <w:spacing w:after="0" w:line="240" w:lineRule="auto"/>
              <w:ind w:firstLine="709"/>
              <w:jc w:val="both"/>
              <w:rPr>
                <w:rFonts w:ascii="Times New Roman" w:hAnsi="Times New Roman"/>
                <w:b w:val="0"/>
                <w:sz w:val="25"/>
              </w:rPr>
            </w:pPr>
            <w:r>
              <w:rPr>
                <w:rFonts w:ascii="Times New Roman" w:hAnsi="Times New Roman"/>
                <w:b w:val="0"/>
                <w:sz w:val="25"/>
              </w:rPr>
              <w:t xml:space="preserve">Расчет вышеуказанной суммы затрат произведен с использованием калькулятора </w:t>
            </w:r>
            <w:r>
              <w:rPr>
                <w:rFonts w:ascii="Times New Roman" w:hAnsi="Times New Roman"/>
                <w:b w:val="0"/>
                <w:sz w:val="25"/>
              </w:rPr>
              <w:t>расчета</w:t>
            </w:r>
            <w:r>
              <w:rPr>
                <w:rFonts w:ascii="Times New Roman" w:hAnsi="Times New Roman"/>
                <w:b w:val="0"/>
                <w:sz w:val="25"/>
              </w:rPr>
              <w:t xml:space="preserve"> стандартных</w:t>
            </w:r>
            <w:r>
              <w:rPr>
                <w:rFonts w:ascii="Times New Roman" w:hAnsi="Times New Roman"/>
                <w:b w:val="0"/>
                <w:sz w:val="25"/>
              </w:rPr>
              <w:t xml:space="preserve"> издержек: </w:t>
            </w:r>
          </w:p>
          <w:p w14:paraId="33000000">
            <w:pPr>
              <w:widowControl w:val="1"/>
              <w:spacing w:after="0" w:line="240" w:lineRule="auto"/>
              <w:ind w:firstLine="709"/>
              <w:jc w:val="both"/>
              <w:rPr>
                <w:rFonts w:ascii="Times New Roman" w:hAnsi="Times New Roman"/>
                <w:b w:val="0"/>
                <w:sz w:val="25"/>
              </w:rPr>
            </w:pPr>
            <w:r>
              <w:rPr>
                <w:rFonts w:ascii="Times New Roman" w:hAnsi="Times New Roman"/>
                <w:b w:val="0"/>
                <w:sz w:val="25"/>
              </w:rPr>
              <w:t>- название требования: предоставление пакета документов;</w:t>
            </w:r>
          </w:p>
          <w:p w14:paraId="34000000">
            <w:pPr>
              <w:widowControl w:val="1"/>
              <w:spacing w:after="0" w:line="240" w:lineRule="auto"/>
              <w:ind w:firstLine="709"/>
              <w:jc w:val="both"/>
              <w:rPr>
                <w:rFonts w:ascii="Times New Roman" w:hAnsi="Times New Roman"/>
                <w:b w:val="0"/>
                <w:sz w:val="25"/>
              </w:rPr>
            </w:pPr>
            <w:r>
              <w:rPr>
                <w:rFonts w:ascii="Times New Roman" w:hAnsi="Times New Roman"/>
                <w:b w:val="0"/>
                <w:sz w:val="25"/>
              </w:rPr>
              <w:t>- тип требования: предоставление информации;</w:t>
            </w:r>
          </w:p>
          <w:p w14:paraId="35000000">
            <w:pPr>
              <w:widowControl w:val="1"/>
              <w:spacing w:after="0" w:line="240" w:lineRule="auto"/>
              <w:ind w:firstLine="709"/>
              <w:jc w:val="both"/>
              <w:rPr>
                <w:rFonts w:ascii="Times New Roman" w:hAnsi="Times New Roman"/>
                <w:b w:val="0"/>
                <w:sz w:val="25"/>
              </w:rPr>
            </w:pPr>
            <w:r>
              <w:rPr>
                <w:rFonts w:ascii="Times New Roman" w:hAnsi="Times New Roman"/>
                <w:b w:val="0"/>
                <w:sz w:val="25"/>
              </w:rPr>
              <w:t>- раздел требования: информационное;</w:t>
            </w:r>
          </w:p>
          <w:p w14:paraId="36000000">
            <w:pPr>
              <w:widowControl w:val="1"/>
              <w:spacing w:after="0" w:line="240" w:lineRule="auto"/>
              <w:ind w:firstLine="709"/>
              <w:jc w:val="both"/>
              <w:rPr>
                <w:rFonts w:ascii="Times New Roman" w:hAnsi="Times New Roman"/>
                <w:b w:val="0"/>
                <w:sz w:val="25"/>
              </w:rPr>
            </w:pPr>
            <w:r>
              <w:rPr>
                <w:rFonts w:ascii="Times New Roman" w:hAnsi="Times New Roman"/>
                <w:b w:val="0"/>
                <w:sz w:val="25"/>
              </w:rPr>
              <w:t>- информационный элемент: предоставление заявления, справок, подтверждающих документов, совершенных действий (произведенных расходов) и т.п.;</w:t>
            </w:r>
          </w:p>
          <w:p w14:paraId="37000000">
            <w:pPr>
              <w:widowControl w:val="1"/>
              <w:spacing w:after="0" w:line="240" w:lineRule="auto"/>
              <w:ind w:firstLine="709"/>
              <w:jc w:val="both"/>
              <w:rPr>
                <w:rFonts w:ascii="Times New Roman" w:hAnsi="Times New Roman"/>
                <w:b w:val="0"/>
                <w:sz w:val="25"/>
              </w:rPr>
            </w:pPr>
            <w:r>
              <w:rPr>
                <w:rFonts w:ascii="Times New Roman" w:hAnsi="Times New Roman"/>
                <w:b w:val="0"/>
                <w:sz w:val="25"/>
              </w:rPr>
              <w:t>- тип элемента: документы, составленные совместно с третьими лицами для хранения /передачи органам власти; или внутренние документы для хранения /передачи органам власти; или иное;</w:t>
            </w:r>
          </w:p>
          <w:p w14:paraId="38000000">
            <w:pPr>
              <w:widowControl w:val="1"/>
              <w:spacing w:after="0" w:line="240" w:lineRule="auto"/>
              <w:ind w:firstLine="709"/>
              <w:jc w:val="both"/>
              <w:rPr>
                <w:rFonts w:ascii="Times New Roman" w:hAnsi="Times New Roman"/>
                <w:b w:val="0"/>
                <w:sz w:val="25"/>
              </w:rPr>
            </w:pPr>
            <w:r>
              <w:rPr>
                <w:rFonts w:ascii="Times New Roman" w:hAnsi="Times New Roman"/>
                <w:b w:val="0"/>
                <w:sz w:val="25"/>
              </w:rPr>
              <w:t xml:space="preserve">- масштаб: - </w:t>
            </w:r>
          </w:p>
          <w:p w14:paraId="39000000">
            <w:pPr>
              <w:widowControl w:val="1"/>
              <w:spacing w:after="0" w:line="240" w:lineRule="auto"/>
              <w:ind w:firstLine="709"/>
              <w:jc w:val="both"/>
              <w:rPr>
                <w:rFonts w:ascii="Times New Roman" w:hAnsi="Times New Roman"/>
                <w:b w:val="0"/>
                <w:sz w:val="25"/>
              </w:rPr>
            </w:pPr>
            <w:r>
              <w:rPr>
                <w:rFonts w:ascii="Times New Roman" w:hAnsi="Times New Roman"/>
                <w:b w:val="0"/>
                <w:sz w:val="25"/>
              </w:rPr>
              <w:t>- частота: 1 ед.</w:t>
            </w:r>
          </w:p>
          <w:p w14:paraId="3A000000">
            <w:pPr>
              <w:widowControl w:val="1"/>
              <w:spacing w:after="0" w:line="240" w:lineRule="auto"/>
              <w:ind w:firstLine="709"/>
              <w:jc w:val="both"/>
              <w:rPr>
                <w:rFonts w:ascii="Times New Roman" w:hAnsi="Times New Roman"/>
                <w:b w:val="0"/>
                <w:sz w:val="25"/>
              </w:rPr>
            </w:pPr>
            <w:r>
              <w:rPr>
                <w:rFonts w:ascii="Times New Roman" w:hAnsi="Times New Roman"/>
                <w:b w:val="0"/>
                <w:sz w:val="25"/>
              </w:rPr>
              <w:t>Действия:</w:t>
            </w:r>
          </w:p>
          <w:p w14:paraId="3B000000">
            <w:pPr>
              <w:widowControl w:val="1"/>
              <w:spacing w:after="0" w:line="240" w:lineRule="auto"/>
              <w:ind w:firstLine="709"/>
              <w:jc w:val="both"/>
              <w:rPr>
                <w:rFonts w:ascii="Times New Roman" w:hAnsi="Times New Roman"/>
                <w:b w:val="0"/>
                <w:sz w:val="25"/>
              </w:rPr>
            </w:pPr>
            <w:r>
              <w:rPr>
                <w:rFonts w:ascii="Times New Roman" w:hAnsi="Times New Roman"/>
                <w:b w:val="0"/>
                <w:sz w:val="25"/>
              </w:rPr>
              <w:t xml:space="preserve">написание любого документа низкого уровня сложности (менее 5 стр. печатного </w:t>
            </w:r>
            <w:r>
              <w:rPr>
                <w:rFonts w:ascii="Times New Roman" w:hAnsi="Times New Roman"/>
                <w:b w:val="0"/>
                <w:sz w:val="25"/>
              </w:rPr>
              <w:t>тек-ста</w:t>
            </w:r>
            <w:r>
              <w:rPr>
                <w:rFonts w:ascii="Times New Roman" w:hAnsi="Times New Roman"/>
                <w:b w:val="0"/>
                <w:sz w:val="25"/>
              </w:rPr>
              <w:t>) – 1,00 чел./часов;</w:t>
            </w:r>
          </w:p>
          <w:p w14:paraId="3C000000">
            <w:pPr>
              <w:widowControl w:val="1"/>
              <w:spacing w:after="0" w:line="240" w:lineRule="auto"/>
              <w:ind w:firstLine="709"/>
              <w:jc w:val="both"/>
              <w:rPr>
                <w:rFonts w:ascii="Times New Roman" w:hAnsi="Times New Roman"/>
                <w:b w:val="0"/>
                <w:sz w:val="25"/>
              </w:rPr>
            </w:pPr>
            <w:r>
              <w:rPr>
                <w:rFonts w:ascii="Times New Roman" w:hAnsi="Times New Roman"/>
                <w:b w:val="0"/>
                <w:sz w:val="25"/>
              </w:rPr>
              <w:t>копирование документов – 1,00 чел./часов;</w:t>
            </w:r>
          </w:p>
          <w:p w14:paraId="3D000000">
            <w:pPr>
              <w:widowControl w:val="1"/>
              <w:spacing w:after="0" w:line="240" w:lineRule="auto"/>
              <w:ind w:firstLine="709"/>
              <w:jc w:val="both"/>
              <w:rPr>
                <w:rFonts w:ascii="Times New Roman" w:hAnsi="Times New Roman"/>
                <w:b w:val="0"/>
                <w:sz w:val="25"/>
              </w:rPr>
            </w:pPr>
            <w:r>
              <w:rPr>
                <w:rFonts w:ascii="Times New Roman" w:hAnsi="Times New Roman"/>
                <w:b w:val="0"/>
                <w:sz w:val="25"/>
              </w:rPr>
              <w:t>подача заявления – 1,00 чел./часов.</w:t>
            </w:r>
          </w:p>
          <w:p w14:paraId="3E000000">
            <w:pPr>
              <w:widowControl w:val="1"/>
              <w:spacing w:after="0"/>
              <w:ind w:firstLine="709"/>
              <w:jc w:val="both"/>
              <w:rPr>
                <w:rFonts w:ascii="Times New Roman" w:hAnsi="Times New Roman"/>
                <w:sz w:val="25"/>
              </w:rPr>
            </w:pPr>
            <w:r>
              <w:rPr>
                <w:rStyle w:val="Style_4_ch"/>
                <w:rFonts w:ascii="Times New Roman" w:hAnsi="Times New Roman"/>
                <w:sz w:val="25"/>
              </w:rPr>
              <w:t xml:space="preserve">Среднемесячная заработная плата по Ленинградскому округу на 1 июля </w:t>
            </w:r>
            <w:r>
              <w:rPr>
                <w:rStyle w:val="Style_4_ch"/>
                <w:rFonts w:ascii="Times New Roman" w:hAnsi="Times New Roman"/>
                <w:sz w:val="25"/>
              </w:rPr>
              <w:t>202</w:t>
            </w:r>
            <w:r>
              <w:rPr>
                <w:rStyle w:val="Style_4_ch"/>
                <w:rFonts w:ascii="Times New Roman" w:hAnsi="Times New Roman"/>
                <w:sz w:val="25"/>
              </w:rPr>
              <w:t>6</w:t>
            </w:r>
            <w:r>
              <w:rPr>
                <w:rStyle w:val="Style_4_ch"/>
                <w:rFonts w:ascii="Times New Roman" w:hAnsi="Times New Roman"/>
                <w:sz w:val="25"/>
              </w:rPr>
              <w:t xml:space="preserve"> г. </w:t>
            </w:r>
            <w:r>
              <w:rPr>
                <w:rStyle w:val="Style_4_ch"/>
                <w:rFonts w:ascii="Times New Roman" w:hAnsi="Times New Roman"/>
                <w:sz w:val="25"/>
              </w:rPr>
              <w:t>согласно данным органов</w:t>
            </w:r>
            <w:r>
              <w:rPr>
                <w:rStyle w:val="Style_4_ch"/>
                <w:rFonts w:ascii="Times New Roman" w:hAnsi="Times New Roman"/>
                <w:sz w:val="25"/>
              </w:rPr>
              <w:t xml:space="preserve"> статистики по крупным и средним предприятиям: 71253,4</w:t>
            </w:r>
            <w:r>
              <w:rPr>
                <w:rStyle w:val="Style_4_ch"/>
                <w:rFonts w:ascii="Times New Roman" w:hAnsi="Times New Roman"/>
                <w:sz w:val="25"/>
              </w:rPr>
              <w:t xml:space="preserve"> руб.  </w:t>
            </w:r>
          </w:p>
          <w:p w14:paraId="3F000000">
            <w:pPr>
              <w:widowControl w:val="1"/>
              <w:spacing w:after="0"/>
              <w:ind w:firstLine="709"/>
              <w:jc w:val="both"/>
              <w:rPr>
                <w:rFonts w:ascii="Times New Roman" w:hAnsi="Times New Roman"/>
                <w:sz w:val="25"/>
              </w:rPr>
            </w:pPr>
            <w:r>
              <w:rPr>
                <w:rStyle w:val="Style_4_ch"/>
                <w:rFonts w:ascii="Times New Roman" w:hAnsi="Times New Roman"/>
                <w:sz w:val="25"/>
              </w:rPr>
              <w:t>Средняя стоимость часа работы: 424,13</w:t>
            </w:r>
            <w:r>
              <w:rPr>
                <w:rStyle w:val="Style_4_ch"/>
                <w:rFonts w:ascii="Times New Roman" w:hAnsi="Times New Roman"/>
                <w:sz w:val="25"/>
              </w:rPr>
              <w:t xml:space="preserve"> руб.  </w:t>
            </w:r>
          </w:p>
          <w:p w14:paraId="40000000">
            <w:pPr>
              <w:widowControl w:val="1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5"/>
              </w:rPr>
            </w:pPr>
            <w:r>
              <w:rPr>
                <w:rStyle w:val="Style_4_ch"/>
                <w:rFonts w:ascii="Times New Roman" w:hAnsi="Times New Roman"/>
                <w:sz w:val="25"/>
              </w:rPr>
              <w:t>Стоимость требования: 1 272,39</w:t>
            </w:r>
            <w:r>
              <w:rPr>
                <w:rStyle w:val="Style_4_ch"/>
                <w:rFonts w:ascii="Times New Roman" w:hAnsi="Times New Roman"/>
                <w:sz w:val="25"/>
              </w:rPr>
              <w:t xml:space="preserve"> руб. в расчете на 1 ед. 424,13</w:t>
            </w:r>
            <w:r>
              <w:rPr>
                <w:rStyle w:val="Style_4_ch"/>
                <w:rFonts w:ascii="Times New Roman" w:hAnsi="Times New Roman"/>
                <w:sz w:val="25"/>
              </w:rPr>
              <w:t xml:space="preserve"> х </w:t>
            </w:r>
            <w:r>
              <w:rPr>
                <w:rStyle w:val="Style_4_ch"/>
                <w:rFonts w:ascii="Times New Roman" w:hAnsi="Times New Roman"/>
                <w:sz w:val="25"/>
              </w:rPr>
              <w:t>(1+1+1</w:t>
            </w:r>
            <w:r>
              <w:rPr>
                <w:rStyle w:val="Style_4_ch"/>
                <w:rFonts w:ascii="Times New Roman" w:hAnsi="Times New Roman"/>
                <w:sz w:val="25"/>
              </w:rPr>
              <w:t xml:space="preserve">) </w:t>
            </w:r>
            <w:r>
              <w:rPr>
                <w:rStyle w:val="Style_4_ch"/>
                <w:rFonts w:ascii="Times New Roman" w:hAnsi="Times New Roman"/>
                <w:sz w:val="25"/>
              </w:rPr>
              <w:br/>
            </w:r>
            <w:r>
              <w:rPr>
                <w:rStyle w:val="Style_4_ch"/>
                <w:rFonts w:ascii="Times New Roman" w:hAnsi="Times New Roman"/>
                <w:sz w:val="25"/>
              </w:rPr>
              <w:t>или на 59 НТО – 75071,01 руб.</w:t>
            </w:r>
          </w:p>
        </w:tc>
      </w:tr>
    </w:tbl>
    <w:p w14:paraId="41000000">
      <w:pPr>
        <w:widowControl w:val="1"/>
        <w:ind w:firstLine="567"/>
        <w:jc w:val="both"/>
        <w:rPr>
          <w:rFonts w:ascii="Times New Roman" w:hAnsi="Times New Roman"/>
          <w:b w:val="0"/>
          <w:sz w:val="28"/>
        </w:rPr>
      </w:pPr>
    </w:p>
    <w:p w14:paraId="42000000">
      <w:pPr>
        <w:widowControl w:val="1"/>
        <w:ind w:firstLine="567"/>
        <w:rPr>
          <w:color w:themeColor="text1" w:val="000000"/>
          <w:sz w:val="24"/>
          <w:shd w:fill="F8D957" w:val="clear"/>
        </w:rPr>
      </w:pPr>
    </w:p>
    <w:p w14:paraId="43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Необоснованные расходы, связанные с регулирующим воздействием проекта, отсутствуют.</w:t>
      </w:r>
    </w:p>
    <w:p w14:paraId="44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В соответствии с Порядком уполномоченный орган провел публичные консультации по проекту в период с</w:t>
      </w:r>
      <w:r>
        <w:rPr>
          <w:rFonts w:ascii="Times New Roman" w:hAnsi="Times New Roman"/>
          <w:sz w:val="28"/>
        </w:rPr>
        <w:t xml:space="preserve"> 7 октября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по 20 октября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.</w:t>
      </w:r>
    </w:p>
    <w:p w14:paraId="45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>8.</w:t>
      </w:r>
      <w:r>
        <w:rPr>
          <w:sz w:val="28"/>
        </w:rPr>
        <w:t xml:space="preserve"> </w:t>
      </w:r>
      <w:r>
        <w:rPr>
          <w:sz w:val="28"/>
        </w:rPr>
        <w:t xml:space="preserve">Информация о проводимых публичных консультациях была размещена    на официальном сайте администрации Ленинградского муниципального округа </w:t>
      </w:r>
      <w:r>
        <w:rPr>
          <w:sz w:val="28"/>
        </w:rPr>
        <w:t>(www.adminlenkub.ru)</w:t>
      </w:r>
      <w:r>
        <w:rPr>
          <w:sz w:val="28"/>
        </w:rPr>
        <w:t>.</w:t>
      </w:r>
    </w:p>
    <w:p w14:paraId="46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 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14:paraId="47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10. По результатам оценки регулирующего воздействия сделаны выводы об отсутствии в представленном проекте положений, </w:t>
      </w:r>
      <w:r>
        <w:rPr>
          <w:rFonts w:ascii="Times New Roman" w:hAnsi="Times New Roman"/>
          <w:sz w:val="28"/>
        </w:rPr>
        <w:t>вводящих избыточные административные обязанности, запреты и ограничения для субъектов предпринимательской и инвестиционной деятельности или способствующих их введению, оказывающих негативное влияние на отрасли экономики Ленинградского муниципального округа, способствующих возникновению необоснованных расходов субъектов предпринимательской и инвестиционной деятельности, а также необоснованных расходов бюджета Ленинградского муниципального округа</w:t>
      </w:r>
      <w:r>
        <w:rPr>
          <w:rFonts w:ascii="Times New Roman" w:hAnsi="Times New Roman"/>
          <w:sz w:val="28"/>
        </w:rPr>
        <w:t>, и о возможности его дальнейшего согласования.</w:t>
      </w:r>
    </w:p>
    <w:p w14:paraId="48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</w:p>
    <w:p w14:paraId="49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Заведующий сектором развития</w:t>
      </w:r>
    </w:p>
    <w:p w14:paraId="4A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предпринимательства </w:t>
      </w:r>
    </w:p>
    <w:p w14:paraId="4B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отдела экономики администрации                                                             Н.Г. </w:t>
      </w:r>
      <w:r>
        <w:rPr>
          <w:rFonts w:ascii="Times New Roman" w:hAnsi="Times New Roman"/>
          <w:sz w:val="28"/>
        </w:rPr>
        <w:t>Пырхова</w:t>
      </w:r>
    </w:p>
    <w:sectPr>
      <w:headerReference r:id="rId3" w:type="default"/>
      <w:headerReference r:id="rId1" w:type="first"/>
      <w:headerReference r:id="rId5" w:type="even"/>
      <w:footerReference r:id="rId4" w:type="default"/>
      <w:footerReference r:id="rId2" w:type="first"/>
      <w:footerReference r:id="rId6" w:type="even"/>
      <w:type w:val="continuous"/>
      <w:pgSz w:h="16834" w:orient="portrait" w:w="11909"/>
      <w:pgMar w:bottom="1134" w:footer="567" w:gutter="0" w:header="567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4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0"/>
      <w:ind/>
    </w:pPr>
  </w:style>
  <w:style w:default="1" w:styleId="Style_4_ch" w:type="character">
    <w:name w:val="Normal"/>
    <w:link w:val="Style_4"/>
  </w:style>
  <w:style w:styleId="Style_7" w:type="paragraph">
    <w:name w:val="Знак"/>
    <w:basedOn w:val="Style_4"/>
    <w:link w:val="Style_7_ch"/>
    <w:pPr>
      <w:widowControl w:val="1"/>
      <w:spacing w:after="160" w:line="240" w:lineRule="exact"/>
      <w:ind/>
    </w:pPr>
    <w:rPr>
      <w:rFonts w:ascii="Verdana" w:hAnsi="Verdana"/>
    </w:rPr>
  </w:style>
  <w:style w:styleId="Style_7_ch" w:type="character">
    <w:name w:val="Знак"/>
    <w:basedOn w:val="Style_4_ch"/>
    <w:link w:val="Style_7"/>
    <w:rPr>
      <w:rFonts w:ascii="Verdana" w:hAnsi="Verdana"/>
    </w:rPr>
  </w:style>
  <w:style w:styleId="Style_8" w:type="paragraph">
    <w:name w:val="Основной текст (2)"/>
    <w:basedOn w:val="Style_4"/>
    <w:link w:val="Style_8_ch"/>
    <w:pPr>
      <w:widowControl w:val="1"/>
      <w:spacing w:after="120" w:line="0" w:lineRule="atLeast"/>
      <w:ind w:hanging="120"/>
      <w:jc w:val="center"/>
    </w:pPr>
    <w:rPr>
      <w:sz w:val="28"/>
    </w:rPr>
  </w:style>
  <w:style w:styleId="Style_8_ch" w:type="character">
    <w:name w:val="Основной текст (2)"/>
    <w:basedOn w:val="Style_4_ch"/>
    <w:link w:val="Style_8"/>
    <w:rPr>
      <w:sz w:val="28"/>
    </w:rPr>
  </w:style>
  <w:style w:styleId="Style_9" w:type="paragraph">
    <w:name w:val="toc 2"/>
    <w:next w:val="Style_4"/>
    <w:link w:val="Style_9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2" w:type="paragraph">
    <w:name w:val="footer"/>
    <w:basedOn w:val="Style_4"/>
    <w:link w:val="Style_2_ch"/>
    <w:pPr>
      <w:widowControl w:val="1"/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4_ch"/>
    <w:link w:val="Style_2"/>
  </w:style>
  <w:style w:styleId="Style_10" w:type="paragraph">
    <w:name w:val="toc 4"/>
    <w:next w:val="Style_4"/>
    <w:link w:val="Style_10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toc 6"/>
    <w:next w:val="Style_4"/>
    <w:link w:val="Style_11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4"/>
    <w:link w:val="Style_12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End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14" w:type="paragraph">
    <w:name w:val="heading 3"/>
    <w:basedOn w:val="Style_4"/>
    <w:next w:val="Style_4"/>
    <w:link w:val="Style_14_ch"/>
    <w:uiPriority w:val="9"/>
    <w:qFormat/>
    <w:pPr>
      <w:keepNext w:val="1"/>
      <w:keepLines w:val="1"/>
      <w:widowControl w:val="1"/>
      <w:spacing w:before="200"/>
      <w:ind/>
      <w:outlineLvl w:val="2"/>
    </w:pPr>
    <w:rPr>
      <w:rFonts w:asciiTheme="majorAscii" w:hAnsiTheme="majorHAnsi"/>
      <w:b w:val="1"/>
      <w:color w:themeColor="accent1" w:val="4F81BD"/>
    </w:rPr>
  </w:style>
  <w:style w:styleId="Style_14_ch" w:type="character">
    <w:name w:val="heading 3"/>
    <w:basedOn w:val="Style_4_ch"/>
    <w:link w:val="Style_14"/>
    <w:rPr>
      <w:rFonts w:asciiTheme="majorAscii" w:hAnsiTheme="majorHAnsi"/>
      <w:b w:val="1"/>
      <w:color w:themeColor="accent1" w:val="4F81BD"/>
    </w:rPr>
  </w:style>
  <w:style w:styleId="Style_15" w:type="paragraph">
    <w:name w:val="List Paragraph"/>
    <w:basedOn w:val="Style_4"/>
    <w:link w:val="Style_15_ch"/>
    <w:pPr>
      <w:widowControl w:val="1"/>
      <w:ind w:left="720"/>
      <w:contextualSpacing w:val="1"/>
    </w:pPr>
  </w:style>
  <w:style w:styleId="Style_15_ch" w:type="character">
    <w:name w:val="List Paragraph"/>
    <w:basedOn w:val="Style_4_ch"/>
    <w:link w:val="Style_15"/>
  </w:style>
  <w:style w:styleId="Style_16" w:type="paragraph">
    <w:name w:val="blk"/>
    <w:basedOn w:val="Style_17"/>
    <w:link w:val="Style_16_ch"/>
  </w:style>
  <w:style w:styleId="Style_16_ch" w:type="character">
    <w:name w:val="blk"/>
    <w:basedOn w:val="Style_17_ch"/>
    <w:link w:val="Style_16"/>
  </w:style>
  <w:style w:styleId="Style_18" w:type="paragraph">
    <w:name w:val="Основной текст1"/>
    <w:basedOn w:val="Style_4"/>
    <w:link w:val="Style_18_ch"/>
    <w:pPr>
      <w:widowControl w:val="1"/>
      <w:spacing w:line="266" w:lineRule="exact"/>
      <w:ind/>
      <w:jc w:val="center"/>
    </w:pPr>
    <w:rPr>
      <w:spacing w:val="5"/>
      <w:sz w:val="25"/>
    </w:rPr>
  </w:style>
  <w:style w:styleId="Style_18_ch" w:type="character">
    <w:name w:val="Основной текст1"/>
    <w:basedOn w:val="Style_4_ch"/>
    <w:link w:val="Style_18"/>
    <w:rPr>
      <w:spacing w:val="5"/>
      <w:sz w:val="25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9" w:type="paragraph">
    <w:name w:val="Прижатый влево"/>
    <w:basedOn w:val="Style_4"/>
    <w:next w:val="Style_4"/>
    <w:link w:val="Style_19_ch"/>
    <w:pPr>
      <w:widowControl w:val="1"/>
      <w:ind/>
    </w:pPr>
    <w:rPr>
      <w:rFonts w:ascii="Cambria Math" w:hAnsi="Cambria Math"/>
      <w:sz w:val="24"/>
    </w:rPr>
  </w:style>
  <w:style w:styleId="Style_19_ch" w:type="character">
    <w:name w:val="Прижатый влево"/>
    <w:basedOn w:val="Style_4_ch"/>
    <w:link w:val="Style_19"/>
    <w:rPr>
      <w:rFonts w:ascii="Cambria Math" w:hAnsi="Cambria Math"/>
      <w:sz w:val="24"/>
    </w:rPr>
  </w:style>
  <w:style w:styleId="Style_20" w:type="paragraph">
    <w:name w:val="Body Text"/>
    <w:basedOn w:val="Style_4"/>
    <w:link w:val="Style_20_ch"/>
    <w:pPr>
      <w:widowControl w:val="1"/>
      <w:ind/>
      <w:jc w:val="center"/>
    </w:pPr>
    <w:rPr>
      <w:b w:val="1"/>
      <w:caps w:val="1"/>
      <w:sz w:val="28"/>
    </w:rPr>
  </w:style>
  <w:style w:styleId="Style_20_ch" w:type="character">
    <w:name w:val="Body Text"/>
    <w:basedOn w:val="Style_4_ch"/>
    <w:link w:val="Style_20"/>
    <w:rPr>
      <w:b w:val="1"/>
      <w:caps w:val="1"/>
      <w:sz w:val="28"/>
    </w:rPr>
  </w:style>
  <w:style w:styleId="Style_21" w:type="paragraph">
    <w:name w:val="Нормальный (таблица)"/>
    <w:basedOn w:val="Style_4"/>
    <w:next w:val="Style_4"/>
    <w:link w:val="Style_21_ch"/>
    <w:pPr>
      <w:widowControl w:val="1"/>
      <w:ind/>
      <w:jc w:val="both"/>
    </w:pPr>
    <w:rPr>
      <w:rFonts w:ascii="Arial" w:hAnsi="Arial"/>
      <w:sz w:val="24"/>
    </w:rPr>
  </w:style>
  <w:style w:styleId="Style_21_ch" w:type="character">
    <w:name w:val="Нормальный (таблица)"/>
    <w:basedOn w:val="Style_4_ch"/>
    <w:link w:val="Style_21"/>
    <w:rPr>
      <w:rFonts w:ascii="Arial" w:hAnsi="Arial"/>
      <w:sz w:val="24"/>
    </w:rPr>
  </w:style>
  <w:style w:styleId="Style_22" w:type="paragraph">
    <w:name w:val="toc 3"/>
    <w:next w:val="Style_4"/>
    <w:link w:val="Style_22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22_ch" w:type="character">
    <w:name w:val="toc 3"/>
    <w:link w:val="Style_22"/>
    <w:rPr>
      <w:rFonts w:ascii="XO Thames" w:hAnsi="XO Thames"/>
      <w:sz w:val="28"/>
    </w:rPr>
  </w:style>
  <w:style w:styleId="Style_23" w:type="paragraph">
    <w:name w:val="Balloon Text"/>
    <w:basedOn w:val="Style_4"/>
    <w:link w:val="Style_23_ch"/>
    <w:rPr>
      <w:rFonts w:ascii="Tahoma" w:hAnsi="Tahoma"/>
      <w:sz w:val="16"/>
    </w:rPr>
  </w:style>
  <w:style w:styleId="Style_23_ch" w:type="character">
    <w:name w:val="Balloon Text"/>
    <w:basedOn w:val="Style_4_ch"/>
    <w:link w:val="Style_23"/>
    <w:rPr>
      <w:rFonts w:ascii="Tahoma" w:hAnsi="Tahoma"/>
      <w:sz w:val="16"/>
    </w:rPr>
  </w:style>
  <w:style w:styleId="Style_24" w:type="paragraph">
    <w:name w:val="heading 5"/>
    <w:next w:val="Style_4"/>
    <w:link w:val="Style_24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4_ch" w:type="character">
    <w:name w:val="heading 5"/>
    <w:link w:val="Style_24"/>
    <w:rPr>
      <w:rFonts w:ascii="XO Thames" w:hAnsi="XO Thames"/>
      <w:b w:val="1"/>
      <w:sz w:val="22"/>
    </w:rPr>
  </w:style>
  <w:style w:styleId="Style_1" w:type="paragraph">
    <w:name w:val="header"/>
    <w:basedOn w:val="Style_4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4_ch"/>
    <w:link w:val="Style_1"/>
  </w:style>
  <w:style w:styleId="Style_25" w:type="paragraph">
    <w:name w:val="heading 1"/>
    <w:basedOn w:val="Style_4"/>
    <w:next w:val="Style_4"/>
    <w:link w:val="Style_25_ch"/>
    <w:uiPriority w:val="9"/>
    <w:qFormat/>
    <w:pPr>
      <w:keepNext w:val="1"/>
      <w:widowControl w:val="1"/>
      <w:spacing w:line="302" w:lineRule="exact"/>
      <w:ind w:left="1094"/>
      <w:outlineLvl w:val="0"/>
    </w:pPr>
    <w:rPr>
      <w:b w:val="1"/>
      <w:color w:val="000000"/>
      <w:spacing w:val="-4"/>
      <w:sz w:val="28"/>
    </w:rPr>
  </w:style>
  <w:style w:styleId="Style_25_ch" w:type="character">
    <w:name w:val="heading 1"/>
    <w:basedOn w:val="Style_4_ch"/>
    <w:link w:val="Style_25"/>
    <w:rPr>
      <w:b w:val="1"/>
      <w:color w:val="000000"/>
      <w:spacing w:val="-4"/>
      <w:sz w:val="28"/>
    </w:rPr>
  </w:style>
  <w:style w:styleId="Style_3" w:type="paragraph">
    <w:name w:val="ConsPlusNonformat"/>
    <w:link w:val="Style_3_ch"/>
    <w:pPr>
      <w:widowControl w:val="0"/>
      <w:ind/>
    </w:pPr>
    <w:rPr>
      <w:rFonts w:ascii="Courier New" w:hAnsi="Courier New"/>
    </w:rPr>
  </w:style>
  <w:style w:styleId="Style_3_ch" w:type="character">
    <w:name w:val="ConsPlusNonformat"/>
    <w:link w:val="Style_3"/>
    <w:rPr>
      <w:rFonts w:ascii="Courier New" w:hAnsi="Courier New"/>
    </w:rPr>
  </w:style>
  <w:style w:styleId="Style_26" w:type="paragraph">
    <w:name w:val="No Spacing"/>
    <w:link w:val="Style_26_ch"/>
    <w:rPr>
      <w:sz w:val="26"/>
    </w:rPr>
  </w:style>
  <w:style w:styleId="Style_26_ch" w:type="character">
    <w:name w:val="No Spacing"/>
    <w:link w:val="Style_26"/>
    <w:rPr>
      <w:sz w:val="26"/>
    </w:rPr>
  </w:style>
  <w:style w:styleId="Style_27" w:type="paragraph">
    <w:name w:val="Гипертекстовая ссылка"/>
    <w:link w:val="Style_27_ch"/>
    <w:rPr>
      <w:b w:val="1"/>
      <w:color w:val="008000"/>
      <w:sz w:val="30"/>
    </w:rPr>
  </w:style>
  <w:style w:styleId="Style_27_ch" w:type="character">
    <w:name w:val="Гипертекстовая ссылка"/>
    <w:link w:val="Style_27"/>
    <w:rPr>
      <w:b w:val="1"/>
      <w:color w:val="008000"/>
      <w:sz w:val="30"/>
    </w:rPr>
  </w:style>
  <w:style w:styleId="Style_28" w:type="paragraph">
    <w:name w:val="Hyperlink"/>
    <w:basedOn w:val="Style_17"/>
    <w:link w:val="Style_28_ch"/>
    <w:rPr>
      <w:color w:val="0066CC"/>
      <w:u w:val="single"/>
    </w:rPr>
  </w:style>
  <w:style w:styleId="Style_28_ch" w:type="character">
    <w:name w:val="Hyperlink"/>
    <w:basedOn w:val="Style_17_ch"/>
    <w:link w:val="Style_28"/>
    <w:rPr>
      <w:color w:val="0066CC"/>
      <w:u w:val="single"/>
    </w:rPr>
  </w:style>
  <w:style w:styleId="Style_29" w:type="paragraph">
    <w:name w:val="Footnote"/>
    <w:link w:val="Style_2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9_ch" w:type="character">
    <w:name w:val="Footnote"/>
    <w:link w:val="Style_29"/>
    <w:rPr>
      <w:rFonts w:ascii="XO Thames" w:hAnsi="XO Thames"/>
      <w:sz w:val="22"/>
    </w:rPr>
  </w:style>
  <w:style w:styleId="Style_30" w:type="paragraph">
    <w:name w:val="toc 1"/>
    <w:next w:val="Style_4"/>
    <w:link w:val="Style_30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30_ch" w:type="character">
    <w:name w:val="toc 1"/>
    <w:link w:val="Style_30"/>
    <w:rPr>
      <w:rFonts w:ascii="XO Thames" w:hAnsi="XO Thames"/>
      <w:b w:val="1"/>
      <w:sz w:val="28"/>
    </w:rPr>
  </w:style>
  <w:style w:styleId="Style_31" w:type="paragraph">
    <w:name w:val="Header and Footer"/>
    <w:link w:val="Style_3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31_ch" w:type="character">
    <w:name w:val="Header and Footer"/>
    <w:link w:val="Style_31"/>
    <w:rPr>
      <w:rFonts w:ascii="XO Thames" w:hAnsi="XO Thames"/>
      <w:sz w:val="28"/>
    </w:rPr>
  </w:style>
  <w:style w:styleId="Style_32" w:type="paragraph">
    <w:name w:val="toc 9"/>
    <w:next w:val="Style_4"/>
    <w:link w:val="Style_32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32_ch" w:type="character">
    <w:name w:val="toc 9"/>
    <w:link w:val="Style_32"/>
    <w:rPr>
      <w:rFonts w:ascii="XO Thames" w:hAnsi="XO Thames"/>
      <w:sz w:val="28"/>
    </w:rPr>
  </w:style>
  <w:style w:styleId="Style_33" w:type="paragraph">
    <w:name w:val="ConsPlusTitle"/>
    <w:link w:val="Style_33_ch"/>
    <w:pPr>
      <w:widowControl w:val="0"/>
      <w:ind/>
    </w:pPr>
    <w:rPr>
      <w:rFonts w:ascii="Arial" w:hAnsi="Arial"/>
      <w:b w:val="1"/>
    </w:rPr>
  </w:style>
  <w:style w:styleId="Style_33_ch" w:type="character">
    <w:name w:val="ConsPlusTitle"/>
    <w:link w:val="Style_33"/>
    <w:rPr>
      <w:rFonts w:ascii="Arial" w:hAnsi="Arial"/>
      <w:b w:val="1"/>
    </w:rPr>
  </w:style>
  <w:style w:styleId="Style_34" w:type="paragraph">
    <w:name w:val="toc 8"/>
    <w:next w:val="Style_4"/>
    <w:link w:val="Style_34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4_ch" w:type="character">
    <w:name w:val="toc 8"/>
    <w:link w:val="Style_34"/>
    <w:rPr>
      <w:rFonts w:ascii="XO Thames" w:hAnsi="XO Thames"/>
      <w:sz w:val="28"/>
    </w:rPr>
  </w:style>
  <w:style w:styleId="Style_35" w:type="paragraph">
    <w:name w:val="Strong"/>
    <w:basedOn w:val="Style_17"/>
    <w:link w:val="Style_35_ch"/>
    <w:rPr>
      <w:b w:val="1"/>
    </w:rPr>
  </w:style>
  <w:style w:styleId="Style_35_ch" w:type="character">
    <w:name w:val="Strong"/>
    <w:basedOn w:val="Style_17_ch"/>
    <w:link w:val="Style_35"/>
    <w:rPr>
      <w:b w:val="1"/>
    </w:rPr>
  </w:style>
  <w:style w:styleId="Style_36" w:type="paragraph">
    <w:name w:val="Основной текст2"/>
    <w:basedOn w:val="Style_4"/>
    <w:link w:val="Style_36_ch"/>
    <w:pPr>
      <w:widowControl w:val="1"/>
      <w:spacing w:after="1560" w:line="317" w:lineRule="exact"/>
      <w:ind/>
    </w:pPr>
    <w:rPr>
      <w:color w:val="000000"/>
      <w:spacing w:val="8"/>
      <w:sz w:val="24"/>
    </w:rPr>
  </w:style>
  <w:style w:styleId="Style_36_ch" w:type="character">
    <w:name w:val="Основной текст2"/>
    <w:basedOn w:val="Style_4_ch"/>
    <w:link w:val="Style_36"/>
    <w:rPr>
      <w:color w:val="000000"/>
      <w:spacing w:val="8"/>
      <w:sz w:val="24"/>
    </w:rPr>
  </w:style>
  <w:style w:styleId="Style_37" w:type="paragraph">
    <w:name w:val="toc 5"/>
    <w:next w:val="Style_4"/>
    <w:link w:val="Style_3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7_ch" w:type="character">
    <w:name w:val="toc 5"/>
    <w:link w:val="Style_37"/>
    <w:rPr>
      <w:rFonts w:ascii="XO Thames" w:hAnsi="XO Thames"/>
      <w:sz w:val="28"/>
    </w:rPr>
  </w:style>
  <w:style w:styleId="Style_38" w:type="paragraph">
    <w:name w:val="Subtitle"/>
    <w:next w:val="Style_4"/>
    <w:link w:val="Style_3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8_ch" w:type="character">
    <w:name w:val="Subtitle"/>
    <w:link w:val="Style_38"/>
    <w:rPr>
      <w:rFonts w:ascii="XO Thames" w:hAnsi="XO Thames"/>
      <w:i w:val="1"/>
      <w:sz w:val="24"/>
    </w:rPr>
  </w:style>
  <w:style w:styleId="Style_39" w:type="paragraph">
    <w:name w:val="Title"/>
    <w:next w:val="Style_4"/>
    <w:link w:val="Style_3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9_ch" w:type="character">
    <w:name w:val="Title"/>
    <w:link w:val="Style_39"/>
    <w:rPr>
      <w:rFonts w:ascii="XO Thames" w:hAnsi="XO Thames"/>
      <w:b w:val="1"/>
      <w:caps w:val="1"/>
      <w:sz w:val="40"/>
    </w:rPr>
  </w:style>
  <w:style w:styleId="Style_5" w:type="paragraph">
    <w:name w:val="ConsPlusNormal"/>
    <w:link w:val="Style_5_ch"/>
    <w:pPr>
      <w:widowControl w:val="0"/>
      <w:ind/>
    </w:pPr>
    <w:rPr>
      <w:rFonts w:ascii="Calibri" w:hAnsi="Calibri"/>
      <w:sz w:val="22"/>
    </w:rPr>
  </w:style>
  <w:style w:styleId="Style_5_ch" w:type="character">
    <w:name w:val="ConsPlusNormal"/>
    <w:link w:val="Style_5"/>
    <w:rPr>
      <w:rFonts w:ascii="Calibri" w:hAnsi="Calibri"/>
      <w:sz w:val="22"/>
    </w:rPr>
  </w:style>
  <w:style w:styleId="Style_40" w:type="paragraph">
    <w:name w:val="heading 4"/>
    <w:next w:val="Style_4"/>
    <w:link w:val="Style_4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0_ch" w:type="character">
    <w:name w:val="heading 4"/>
    <w:link w:val="Style_40"/>
    <w:rPr>
      <w:rFonts w:ascii="XO Thames" w:hAnsi="XO Thames"/>
      <w:b w:val="1"/>
      <w:sz w:val="24"/>
    </w:rPr>
  </w:style>
  <w:style w:styleId="Style_41" w:type="paragraph">
    <w:name w:val="heading 2"/>
    <w:basedOn w:val="Style_4"/>
    <w:next w:val="Style_4"/>
    <w:link w:val="Style_41_ch"/>
    <w:uiPriority w:val="9"/>
    <w:qFormat/>
    <w:pPr>
      <w:keepNext w:val="1"/>
      <w:widowControl w:val="1"/>
      <w:spacing w:line="302" w:lineRule="exact"/>
      <w:ind/>
      <w:jc w:val="center"/>
      <w:outlineLvl w:val="1"/>
    </w:pPr>
    <w:rPr>
      <w:b w:val="1"/>
      <w:caps w:val="1"/>
      <w:color w:val="000000"/>
      <w:spacing w:val="-7"/>
      <w:sz w:val="28"/>
    </w:rPr>
  </w:style>
  <w:style w:styleId="Style_41_ch" w:type="character">
    <w:name w:val="heading 2"/>
    <w:basedOn w:val="Style_4_ch"/>
    <w:link w:val="Style_41"/>
    <w:rPr>
      <w:b w:val="1"/>
      <w:caps w:val="1"/>
      <w:color w:val="000000"/>
      <w:spacing w:val="-7"/>
      <w:sz w:val="28"/>
    </w:rPr>
  </w:style>
  <w:style w:styleId="Style_42" w:type="paragraph">
    <w:name w:val="Default"/>
    <w:link w:val="Style_42_ch"/>
    <w:rPr>
      <w:color w:val="000000"/>
      <w:sz w:val="24"/>
    </w:rPr>
  </w:style>
  <w:style w:styleId="Style_42_ch" w:type="character">
    <w:name w:val="Default"/>
    <w:link w:val="Style_42"/>
    <w:rPr>
      <w:color w:val="000000"/>
      <w:sz w:val="24"/>
    </w:rPr>
  </w:style>
  <w:style w:default="1" w:styleId="Style_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3" w:type="table">
    <w:name w:val="Table Grid"/>
    <w:basedOn w:val="Style_6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footer4.xml" Type="http://schemas.openxmlformats.org/officeDocument/2006/relationships/footer"/>
  <Relationship Id="rId1" Target="header1.xml" Type="http://schemas.openxmlformats.org/officeDocument/2006/relationships/header"/>
  <Relationship Id="rId8" Target="settings.xml" Type="http://schemas.openxmlformats.org/officeDocument/2006/relationships/settings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7" Target="fontTable.xml" Type="http://schemas.openxmlformats.org/officeDocument/2006/relationships/fontTable"/>
  <Relationship Id="rId5" Target="header5.xml" Type="http://schemas.openxmlformats.org/officeDocument/2006/relationships/header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9" Target="styles.xml" Type="http://schemas.openxmlformats.org/officeDocument/2006/relationships/styles"/>
  <Relationship Id="rId6" Target="footer6.xml" Type="http://schemas.openxmlformats.org/officeDocument/2006/relationships/footer"/>
  <Relationship Id="rId11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MyOffice-CoreFramework-Windows/39-1403.1128.10324.1037.1@e8ff5f727e334356b492384cca4cf28c85978f47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2026-02-19T07:37:00Z</dcterms:created>
  <dcterms:modified xsi:type="dcterms:W3CDTF">2026-10-15T12:28:35Z</dcterms:modified>
</cp:coreProperties>
</file>