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6.xml" ContentType="application/vnd.openxmlformats-officedocument.drawingml.chart+xml"/>
  <Override PartName="/word/charts/chart5.xml" ContentType="application/vnd.openxmlformats-officedocument.drawingml.chart+xml"/>
  <Override PartName="/word/charts/chart2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charts/chart4.xml" ContentType="application/vnd.openxmlformats-officedocument.drawingml.chart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лав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образования </w:t>
      </w:r>
      <w:r>
        <w:rPr>
          <w:color w:val="000000"/>
          <w:spacing w:val="-2"/>
          <w:sz w:val="28"/>
          <w:szCs w:val="28"/>
        </w:rPr>
        <w:t xml:space="preserve">Ленинградский</w:t>
      </w:r>
      <w:r>
        <w:rPr>
          <w:color w:val="000000"/>
          <w:spacing w:val="-2"/>
          <w:sz w:val="28"/>
          <w:szCs w:val="28"/>
        </w:rPr>
        <w:t xml:space="preserve"> район</w:t>
      </w:r>
      <w:r>
        <w:rPr>
          <w:color w:val="000000"/>
          <w:spacing w:val="-2"/>
          <w:sz w:val="28"/>
          <w:szCs w:val="28"/>
        </w:rPr>
      </w:r>
    </w:p>
    <w:p>
      <w:pPr>
        <w:ind w:left="4536"/>
        <w:shd w:val="clear" w:color="auto" w:fill="ffffff"/>
        <w:tabs>
          <w:tab w:val="left" w:pos="504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Ю.Ю. Шулико</w:t>
      </w:r>
      <w:r>
        <w:rPr>
          <w:color w:val="000000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pStyle w:val="680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Доклад о м</w:t>
      </w:r>
      <w:r>
        <w:rPr>
          <w:sz w:val="28"/>
          <w:szCs w:val="28"/>
        </w:rPr>
        <w:t xml:space="preserve">ониторинг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восприятия уровня коррупции в муниципально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</w:r>
    </w:p>
    <w:p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ла</w:t>
      </w:r>
      <w:r>
        <w:rPr>
          <w:sz w:val="28"/>
          <w:szCs w:val="28"/>
        </w:rPr>
        <w:t xml:space="preserve">ном противодействия коррупции в </w:t>
      </w:r>
      <w:r>
        <w:rPr>
          <w:sz w:val="28"/>
          <w:szCs w:val="28"/>
        </w:rPr>
        <w:t xml:space="preserve">органах местного самоуправления муниципального образования</w:t>
      </w:r>
      <w:r>
        <w:rPr>
          <w:sz w:val="28"/>
          <w:szCs w:val="28"/>
        </w:rPr>
        <w:t xml:space="preserve"> Ленинградский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</w:t>
      </w:r>
      <w: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 мониторинг восприятия уровня коррупции со стороны общества и бизнеса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Юридическим отделом администрации муниципального образования Ленинградский район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26 </w:t>
      </w:r>
      <w:r>
        <w:rPr>
          <w:sz w:val="28"/>
          <w:szCs w:val="28"/>
        </w:rPr>
        <w:t xml:space="preserve">февраля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проведено социологическое исследование восприятия уровня коррупции в органах местного самоуправления муниципального образования Ленинградский район со стороны общества и бизнеса.</w:t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Целью исследования являлась оценка различными социальными слоями населения, постоянно проживающего на территории муниципального образования Ленинградский район, уровня коррупции в исполнительных органах государственной и муниципальной власти.</w:t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ходе социологического исследования было опрошено 2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 физических лиц, проживающих на территории муниципального образования Ленинградский район в возрасте от 18 лет и старше, и 4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физических лиц, занимающих руководящие должности в коммерческих организациях, зарегистрированных на территории муниципального образовани</w:t>
      </w:r>
      <w:r>
        <w:rPr>
          <w:sz w:val="28"/>
          <w:szCs w:val="28"/>
        </w:rPr>
        <w:t xml:space="preserve">я Ленинградский район, либо лиц</w:t>
      </w:r>
      <w:r>
        <w:rPr>
          <w:sz w:val="28"/>
          <w:szCs w:val="28"/>
        </w:rPr>
        <w:t xml:space="preserve">, осуществляющи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коммерческую деятельность в качестве индивидуальных предпринимателей.</w:t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Сбор </w:t>
      </w:r>
      <w:r>
        <w:rPr>
          <w:sz w:val="28"/>
          <w:szCs w:val="28"/>
        </w:rPr>
        <w:t xml:space="preserve">оценочной информации производился путем анкетирования граждан в общественных местах, а также на предприятиях и в организациях Ленинградского, Крыловского, Новоплатнировского, Уманского, Новомуманского, Куликовского, Восточного, Образцового, Первомайского, </w:t>
      </w:r>
      <w:r>
        <w:rPr>
          <w:sz w:val="28"/>
          <w:szCs w:val="28"/>
        </w:rPr>
        <w:t xml:space="preserve">Белохуторского, Коржовского и Западного сельских поселений Ленинградского района.</w:t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Среди физических лиц, проживающих на территории муниципального образования Ленинградский район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возрасте от 18 лет и старше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ыло опрошено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социологическом исследовании приняли участие </w:t>
      </w:r>
      <w:r>
        <w:rPr>
          <w:sz w:val="28"/>
          <w:szCs w:val="28"/>
        </w:rPr>
        <w:t xml:space="preserve">101</w:t>
      </w:r>
      <w:r>
        <w:rPr>
          <w:sz w:val="28"/>
          <w:szCs w:val="28"/>
        </w:rPr>
        <w:t xml:space="preserve"> мужчина и </w:t>
      </w:r>
      <w:r>
        <w:rPr>
          <w:sz w:val="28"/>
          <w:szCs w:val="28"/>
        </w:rPr>
        <w:t xml:space="preserve">99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женщин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Возрастной </w:t>
      </w: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  <w:t xml:space="preserve"> опрошенных приведён в диаграмме.</w:t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right="-5"/>
        <w:jc w:val="both"/>
        <w:spacing w:before="0" w:beforeAutospacing="0" w:after="0" w:afterAutospacing="0"/>
        <w:tabs>
          <w:tab w:val="right" w:pos="9644" w:leader="none"/>
        </w:tabs>
        <w:rPr>
          <w:sz w:val="20"/>
          <w:szCs w:val="20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2176145</wp:posOffset>
                </wp:positionV>
                <wp:extent cx="1095375" cy="1403985"/>
                <wp:effectExtent l="0" t="0" r="0" b="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Возраст</w:t>
                            </w:r>
                            <w:r>
                              <w:rPr>
                                <w:b/>
                              </w:rPr>
                              <w:t xml:space="preserve">: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9264;o:allowoverlap:true;o:allowincell:true;mso-position-horizontal-relative:text;margin-left:7.10pt;mso-position-horizontal:absolute;mso-position-vertical-relative:text;margin-top:171.35pt;mso-position-vertical:absolute;width:86.25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Возраст</w:t>
                      </w:r>
                      <w:r>
                        <w:rPr>
                          <w:b/>
                        </w:rPr>
                        <w:t xml:space="preserve">:</w:t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655320</wp:posOffset>
                </wp:positionV>
                <wp:extent cx="1866900" cy="140398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Из 2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00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опрошенных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: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75648;o:allowoverlap:true;o:allowincell:true;mso-position-horizontal-relative:text;margin-left:5.60pt;mso-position-horizontal:absolute;mso-position-vertical-relative:text;margin-top:51.60pt;mso-position-vertical:absolute;width:147.00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Из 2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00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 опрошенных</w:t>
                      </w:r>
                      <w:r>
                        <w:rPr>
                          <w:b/>
                          <w:sz w:val="28"/>
                        </w:rPr>
                        <w:t xml:space="preserve">:</w:t>
                      </w:r>
                      <w:r>
                        <w:rPr>
                          <w:b/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drawing>
          <wp:inline distT="0" distB="0" distL="0" distR="0">
            <wp:extent cx="6019800" cy="2447925"/>
            <wp:effectExtent l="0" t="0" r="0" b="9525"/>
            <wp:docPr id="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ходе социологических исследований получены следующие данные, характеризующие восприятие уровня коррупции в муниципальном образовании </w:t>
      </w:r>
      <w:r>
        <w:rPr>
          <w:sz w:val="28"/>
          <w:szCs w:val="28"/>
        </w:rPr>
        <w:t xml:space="preserve">Ленинградский</w:t>
      </w:r>
      <w:r>
        <w:rPr>
          <w:sz w:val="28"/>
          <w:szCs w:val="28"/>
        </w:rPr>
        <w:t xml:space="preserve"> район:</w:t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вопрос анкеты «Приходилось ли Вам давать взятку</w:t>
      </w:r>
      <w:r>
        <w:rPr>
          <w:sz w:val="28"/>
          <w:szCs w:val="28"/>
        </w:rPr>
        <w:t xml:space="preserve"> (когда-либо)</w:t>
      </w:r>
      <w:r>
        <w:rPr>
          <w:sz w:val="28"/>
          <w:szCs w:val="28"/>
        </w:rPr>
        <w:t xml:space="preserve"> должностным лицам?» -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90</w:t>
      </w:r>
      <w:r>
        <w:rPr>
          <w:sz w:val="28"/>
          <w:szCs w:val="28"/>
        </w:rPr>
        <w:t xml:space="preserve"> опрошенных из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 ответили, что не приходилось. Доля респондентов, заявивших о даче взятки, составила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или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человек из 2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, что ниже на 4 % по итогам мониторинга  2022 года.</w:t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 числа опрошенных, заявивших о даче взятки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жител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давали взятку должностным лицам в прошедшем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году.</w:t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 числа заявивших о даче взятки должностным лицам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из 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сообщили о том, что это был единичный случай</w:t>
      </w:r>
      <w:r>
        <w:rPr>
          <w:sz w:val="28"/>
          <w:szCs w:val="28"/>
        </w:rPr>
        <w:t xml:space="preserve">, и 4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– два раза </w:t>
      </w:r>
      <w:r>
        <w:rPr>
          <w:sz w:val="28"/>
          <w:szCs w:val="28"/>
        </w:rPr>
        <w:t xml:space="preserve">и более </w:t>
      </w:r>
      <w:r>
        <w:rPr>
          <w:sz w:val="28"/>
          <w:szCs w:val="28"/>
        </w:rPr>
        <w:t xml:space="preserve">за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вопрос «В пределах какой суммы Вам приходилось давать взятку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респондент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сообщили о сумме до 15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человек заявил о сумме взятки от 15,0 тысяч до 30,0 тысяч рублей, о сумме взятки более 30</w:t>
      </w:r>
      <w:r>
        <w:rPr>
          <w:sz w:val="28"/>
          <w:szCs w:val="28"/>
        </w:rPr>
        <w:t xml:space="preserve"> ни</w:t>
      </w:r>
      <w:r>
        <w:rPr>
          <w:sz w:val="28"/>
          <w:szCs w:val="28"/>
        </w:rPr>
        <w:t xml:space="preserve">кто из опрошенных не заявил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ходе социологического опроса жители муниципального образования Ленинградский район дали оценку степени д</w:t>
      </w:r>
      <w:r>
        <w:rPr>
          <w:sz w:val="28"/>
          <w:szCs w:val="28"/>
        </w:rPr>
        <w:t xml:space="preserve">овери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к органам местного самоуправления муниципального образования 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нградский район </w:t>
      </w:r>
      <w:r>
        <w:rPr>
          <w:sz w:val="28"/>
          <w:szCs w:val="28"/>
        </w:rPr>
        <w:t xml:space="preserve">по десятибалльной шкале, где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высокий уровень доверия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низкий уровень доверия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получ</w:t>
      </w:r>
      <w:r>
        <w:rPr>
          <w:sz w:val="28"/>
          <w:szCs w:val="28"/>
        </w:rPr>
        <w:t xml:space="preserve">ены</w:t>
      </w:r>
      <w:r>
        <w:rPr>
          <w:sz w:val="28"/>
          <w:szCs w:val="28"/>
        </w:rPr>
        <w:t xml:space="preserve"> следующие результаты: </w:t>
      </w:r>
      <w:r>
        <w:rPr>
          <w:sz w:val="28"/>
          <w:szCs w:val="28"/>
        </w:rPr>
      </w:r>
    </w:p>
    <w:p>
      <w:pPr>
        <w:pStyle w:val="686"/>
        <w:ind w:right="-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3004185</wp:posOffset>
                </wp:positionV>
                <wp:extent cx="971550" cy="247650"/>
                <wp:effectExtent l="0" t="0" r="0" b="0"/>
                <wp:wrapNone/>
                <wp:docPr id="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Баллы: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77696;o:allowoverlap:true;o:allowincell:true;mso-position-horizontal-relative:text;margin-left:4.20pt;mso-position-horizontal:absolute;mso-position-vertical-relative:text;margin-top:236.55pt;mso-position-vertical:absolute;width:76.50pt;height:19.50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Баллы:</w:t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6086472" cy="3248022"/>
            <wp:effectExtent l="4762" t="4762" r="4762" b="4762"/>
            <wp:docPr id="5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ходе социологического опроса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уточнялась</w:t>
      </w:r>
      <w:r>
        <w:rPr>
          <w:sz w:val="28"/>
          <w:szCs w:val="28"/>
        </w:rPr>
        <w:t xml:space="preserve"> оценк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коррумпированности</w:t>
      </w:r>
      <w:r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местного самоуправления муниципального образования Ленинградский район по десятибалльной шкале, где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высокий уровень </w:t>
      </w:r>
      <w:r>
        <w:rPr>
          <w:sz w:val="28"/>
          <w:szCs w:val="28"/>
        </w:rPr>
        <w:t xml:space="preserve">коррумпированности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низкий уровень </w:t>
      </w:r>
      <w:r>
        <w:rPr>
          <w:sz w:val="28"/>
          <w:szCs w:val="28"/>
        </w:rPr>
        <w:t xml:space="preserve">коррумпированности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полное отсутствие коррупции. </w:t>
      </w:r>
      <w:r>
        <w:rPr>
          <w:sz w:val="28"/>
          <w:szCs w:val="28"/>
        </w:rPr>
        <w:t xml:space="preserve">По итогам опроса </w:t>
      </w:r>
      <w:r>
        <w:rPr>
          <w:sz w:val="28"/>
          <w:szCs w:val="28"/>
        </w:rPr>
        <w:t xml:space="preserve">11,5</w:t>
      </w:r>
      <w:r>
        <w:rPr>
          <w:sz w:val="28"/>
          <w:szCs w:val="28"/>
        </w:rPr>
        <w:t xml:space="preserve">% опрошенных дали оценку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% - дали оценку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% оценили корумпированность на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опрошенных </w:t>
      </w:r>
      <w:r>
        <w:rPr>
          <w:sz w:val="28"/>
          <w:szCs w:val="28"/>
        </w:rPr>
        <w:t xml:space="preserve">дали оценку в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баллов.</w:t>
      </w:r>
      <w:r>
        <w:rPr>
          <w:sz w:val="28"/>
          <w:szCs w:val="28"/>
        </w:rPr>
      </w:r>
    </w:p>
    <w:p>
      <w:pPr>
        <w:pStyle w:val="686"/>
        <w:ind w:right="-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2912441</wp:posOffset>
                </wp:positionV>
                <wp:extent cx="1095375" cy="1403985"/>
                <wp:effectExtent l="0" t="0" r="0" b="0"/>
                <wp:wrapNone/>
                <wp:docPr id="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Баллы: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63360;o:allowoverlap:true;o:allowincell:true;mso-position-horizontal-relative:text;margin-left:-6.35pt;mso-position-horizontal:absolute;mso-position-vertical-relative:text;margin-top:229.33pt;mso-position-vertical:absolute;width:86.25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Баллы:</w:t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6114553" cy="3275937"/>
            <wp:effectExtent l="4762" t="4762" r="4762" b="4762"/>
            <wp:docPr id="7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Среди физических лиц, занимающих руководящие должности в коммерческих юридических организациях, зарегистрированных на территории муниципального образования Ленинградский район, либо лиц, осуществляющи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коммерческую деятельность в качестве индивидуальных предпринимателей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опрошено 4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</w:t>
      </w:r>
      <w:r>
        <w:rPr>
          <w:sz w:val="28"/>
          <w:szCs w:val="28"/>
        </w:rPr>
        <w:t xml:space="preserve">. В числе опрошенных 29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мужчин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 женщин. Возрастной </w:t>
      </w: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  <w:t xml:space="preserve"> опрошенных приведён в диаграмме.</w:t>
      </w:r>
      <w:r>
        <w:rPr>
          <w:sz w:val="28"/>
          <w:szCs w:val="28"/>
        </w:rPr>
      </w:r>
    </w:p>
    <w:p>
      <w:pPr>
        <w:pStyle w:val="686"/>
        <w:ind w:right="-5"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right="-5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1907540</wp:posOffset>
                </wp:positionV>
                <wp:extent cx="1095375" cy="1403985"/>
                <wp:effectExtent l="0" t="0" r="0" b="0"/>
                <wp:wrapNone/>
                <wp:docPr id="8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Возраст</w:t>
                            </w:r>
                            <w:r>
                              <w:rPr>
                                <w:b/>
                              </w:rPr>
                              <w:t xml:space="preserve">: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4" o:spid="_x0000_s4" o:spt="202" type="#_x0000_t202" style="position:absolute;z-index:251679744;o:allowoverlap:true;o:allowincell:true;mso-position-horizontal-relative:text;margin-left:5.35pt;mso-position-horizontal:absolute;mso-position-vertical-relative:text;margin-top:150.20pt;mso-position-vertical:absolute;width:86.25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Возраст</w:t>
                      </w:r>
                      <w:r>
                        <w:rPr>
                          <w:b/>
                        </w:rPr>
                        <w:t xml:space="preserve">:</w:t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655320</wp:posOffset>
                </wp:positionV>
                <wp:extent cx="1866900" cy="1403985"/>
                <wp:effectExtent l="0" t="0" r="0" b="0"/>
                <wp:wrapNone/>
                <wp:docPr id="9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Из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4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0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опрошенных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: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5" o:spid="_x0000_s5" o:spt="202" type="#_x0000_t202" style="position:absolute;z-index:251685888;o:allowoverlap:true;o:allowincell:true;mso-position-horizontal-relative:text;margin-left:5.60pt;mso-position-horizontal:absolute;mso-position-vertical-relative:text;margin-top:51.60pt;mso-position-vertical:absolute;width:147.00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Из 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4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0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 опрошенных</w:t>
                      </w:r>
                      <w:r>
                        <w:rPr>
                          <w:b/>
                          <w:sz w:val="28"/>
                        </w:rPr>
                        <w:t xml:space="preserve">:</w:t>
                      </w:r>
                      <w:r>
                        <w:rPr>
                          <w:b/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drawing>
          <wp:inline distT="0" distB="0" distL="0" distR="0">
            <wp:extent cx="6019800" cy="2124074"/>
            <wp:effectExtent l="4762" t="4762" r="4762" b="4762"/>
            <wp:docPr id="10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sz w:val="20"/>
          <w:szCs w:val="20"/>
        </w:rPr>
      </w:r>
    </w:p>
    <w:p>
      <w:pPr>
        <w:pStyle w:val="686"/>
        <w:ind w:right="-5"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ходе социологических исследований получены следующие данные, характеризующие восприятие уровня коррупции в муниципальном </w:t>
      </w:r>
      <w:r>
        <w:rPr>
          <w:sz w:val="28"/>
          <w:szCs w:val="28"/>
        </w:rPr>
        <w:t xml:space="preserve">образовании Ленинградский район.</w:t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вопрос анкеты «Приходилось ли Вам давать взятку должностным лицам?» - </w:t>
      </w:r>
      <w:r>
        <w:rPr>
          <w:sz w:val="28"/>
          <w:szCs w:val="28"/>
        </w:rPr>
        <w:t xml:space="preserve">38</w:t>
      </w:r>
      <w:r>
        <w:rPr>
          <w:sz w:val="28"/>
          <w:szCs w:val="28"/>
        </w:rPr>
        <w:t xml:space="preserve"> опрошенны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ответили, что не приходилось давать взятку должностным лицам. Доля респондентов, заявивших о даче взятки, составила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% или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 из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вопрос анкеты «Приходилось ли Вам давать взятку должностным лицам за последний год?» -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опрошенны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ответили, что приходилось давать взятку должностным лицам</w:t>
      </w:r>
      <w:r>
        <w:rPr>
          <w:sz w:val="28"/>
          <w:szCs w:val="28"/>
        </w:rPr>
        <w:t xml:space="preserve">, размером до 15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 последний год.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ходе социологического опроса </w:t>
      </w:r>
      <w:r>
        <w:rPr>
          <w:sz w:val="28"/>
          <w:szCs w:val="28"/>
        </w:rPr>
        <w:t xml:space="preserve">среди представителей бизнеса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оценк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степени доверия к органам местного самоуправления муниципального образования Ленинградский район по десятибалльной шкале, где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высокий уровень доверия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низкий уровень доверия, получ</w:t>
      </w:r>
      <w:r>
        <w:rPr>
          <w:sz w:val="28"/>
          <w:szCs w:val="28"/>
        </w:rPr>
        <w:t xml:space="preserve">ены</w:t>
      </w:r>
      <w:r>
        <w:rPr>
          <w:sz w:val="28"/>
          <w:szCs w:val="28"/>
        </w:rPr>
        <w:t xml:space="preserve"> следующие результаты.</w:t>
      </w:r>
      <w:r>
        <w:rPr>
          <w:sz w:val="28"/>
          <w:szCs w:val="28"/>
        </w:rPr>
      </w:r>
    </w:p>
    <w:p>
      <w:pPr>
        <w:pStyle w:val="686"/>
        <w:ind w:right="-5" w:firstLine="900"/>
        <w:jc w:val="both"/>
        <w:spacing w:before="0" w:beforeAutospacing="0" w:after="0" w:afterAutospacing="0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pStyle w:val="686"/>
        <w:ind w:right="-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3435350</wp:posOffset>
                </wp:positionV>
                <wp:extent cx="1095375" cy="1403985"/>
                <wp:effectExtent l="0" t="0" r="0" b="0"/>
                <wp:wrapNone/>
                <wp:docPr id="1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Баллы: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6" o:spid="_x0000_s6" o:spt="202" type="#_x0000_t202" style="position:absolute;z-index:251686912;o:allowoverlap:true;o:allowincell:true;mso-position-horizontal-relative:text;margin-left:-0.65pt;mso-position-horizontal:absolute;mso-position-vertical-relative:text;margin-top:270.50pt;mso-position-vertical:absolute;width:86.25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Баллы:</w:t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6153149" cy="3809999"/>
            <wp:effectExtent l="4762" t="4762" r="4762" b="4762"/>
            <wp:docPr id="12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sz w:val="28"/>
          <w:szCs w:val="28"/>
        </w:rPr>
      </w:r>
    </w:p>
    <w:p>
      <w:pPr>
        <w:pStyle w:val="686"/>
        <w:ind w:right="-5" w:firstLine="900"/>
        <w:jc w:val="both"/>
        <w:spacing w:before="0" w:beforeAutospacing="0" w:after="0" w:afterAutospacing="0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pStyle w:val="686"/>
        <w:ind w:right="-5" w:firstLine="900"/>
        <w:jc w:val="both"/>
        <w:spacing w:before="0" w:beforeAutospacing="0" w:after="0" w:afterAutospacing="0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ходе социологического опроса </w:t>
      </w:r>
      <w:r>
        <w:rPr>
          <w:sz w:val="28"/>
          <w:szCs w:val="28"/>
        </w:rPr>
        <w:t xml:space="preserve">представител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бизнеса </w:t>
      </w:r>
      <w:r>
        <w:rPr>
          <w:sz w:val="28"/>
          <w:szCs w:val="28"/>
        </w:rPr>
        <w:t xml:space="preserve">да</w:t>
      </w:r>
      <w:r>
        <w:rPr>
          <w:sz w:val="28"/>
          <w:szCs w:val="28"/>
        </w:rPr>
        <w:t xml:space="preserve">ли</w:t>
      </w:r>
      <w:r>
        <w:rPr>
          <w:sz w:val="28"/>
          <w:szCs w:val="28"/>
        </w:rPr>
        <w:t xml:space="preserve"> оценку коррумпированности органов местного самоуправления муниципального образования Ленинградский район по десятибалльной шкале, где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высокий уровень коррумпированности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низкий уровень коррумпированности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полное отсутствие коррупции. </w:t>
      </w:r>
      <w:r>
        <w:rPr>
          <w:sz w:val="28"/>
          <w:szCs w:val="28"/>
        </w:rPr>
        <w:t xml:space="preserve">По итогам опроса, </w:t>
      </w:r>
      <w:r>
        <w:rPr>
          <w:sz w:val="28"/>
          <w:szCs w:val="28"/>
        </w:rPr>
        <w:t xml:space="preserve">ни кто из </w:t>
      </w:r>
      <w:r>
        <w:rPr>
          <w:sz w:val="28"/>
          <w:szCs w:val="28"/>
        </w:rPr>
        <w:t xml:space="preserve">опрошенных не дал оценку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7,5 </w:t>
      </w:r>
      <w:r>
        <w:rPr>
          <w:sz w:val="28"/>
          <w:szCs w:val="28"/>
        </w:rPr>
        <w:t xml:space="preserve">% - дали оценку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% оценили коррумпированность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10,0</w:t>
      </w:r>
      <w:r>
        <w:rPr>
          <w:sz w:val="28"/>
          <w:szCs w:val="28"/>
        </w:rPr>
        <w:t xml:space="preserve">% опрошенных дали оценку в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баллов.  </w:t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right="-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2675890</wp:posOffset>
                </wp:positionV>
                <wp:extent cx="1095375" cy="1403985"/>
                <wp:effectExtent l="0" t="0" r="0" b="0"/>
                <wp:wrapNone/>
                <wp:docPr id="1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Баллы: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7" o:spid="_x0000_s7" o:spt="202" type="#_x0000_t202" style="position:absolute;z-index:251680768;o:allowoverlap:true;o:allowincell:true;mso-position-horizontal-relative:text;margin-left:-6.35pt;mso-position-horizontal:absolute;mso-position-vertical-relative:text;margin-top:210.70pt;mso-position-vertical:absolute;width:86.25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Баллы:</w:t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6115047" cy="2997198"/>
            <wp:effectExtent l="4762" t="4762" r="4762" b="4762"/>
            <wp:docPr id="14" name="Диаграмма 2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sz w:val="28"/>
          <w:szCs w:val="28"/>
        </w:rPr>
      </w:r>
    </w:p>
    <w:p>
      <w:pPr>
        <w:pStyle w:val="686"/>
        <w:ind w:right="-5"/>
        <w:jc w:val="center"/>
        <w:spacing w:before="0" w:beforeAutospacing="0" w:after="0" w:afterAutospacing="0"/>
        <w:rPr>
          <w:b/>
          <w:sz w:val="12"/>
          <w:szCs w:val="12"/>
        </w:rPr>
      </w:pPr>
      <w:r>
        <w:rPr>
          <w:b/>
          <w:sz w:val="12"/>
          <w:szCs w:val="12"/>
        </w:rPr>
      </w:r>
      <w:r>
        <w:rPr>
          <w:b/>
          <w:sz w:val="12"/>
          <w:szCs w:val="12"/>
        </w:rPr>
      </w:r>
    </w:p>
    <w:p>
      <w:pPr>
        <w:pStyle w:val="686"/>
        <w:ind w:right="-5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6"/>
        <w:ind w:right="-5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 </w:t>
      </w:r>
      <w:r>
        <w:rPr>
          <w:b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мониторинга восприятия уровня коррупции 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686"/>
        <w:ind w:right="-5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образовании </w:t>
      </w:r>
      <w:r>
        <w:rPr>
          <w:b/>
          <w:sz w:val="28"/>
          <w:szCs w:val="28"/>
        </w:rPr>
        <w:t xml:space="preserve">Ленинградский</w:t>
      </w:r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</w:r>
    </w:p>
    <w:p>
      <w:pPr>
        <w:pStyle w:val="686"/>
        <w:ind w:right="-5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6"/>
        <w:ind w:right="-5"/>
        <w:jc w:val="center"/>
        <w:spacing w:before="0" w:beforeAutospacing="0" w:after="0" w:afterAutospacing="0"/>
        <w:rPr>
          <w:b/>
          <w:sz w:val="12"/>
          <w:szCs w:val="12"/>
        </w:rPr>
      </w:pPr>
      <w:r>
        <w:rPr>
          <w:b/>
          <w:sz w:val="12"/>
          <w:szCs w:val="12"/>
        </w:rPr>
      </w:r>
      <w:r>
        <w:rPr>
          <w:b/>
          <w:sz w:val="12"/>
          <w:szCs w:val="12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Согласно оценке граждан</w:t>
      </w:r>
      <w:r>
        <w:rPr>
          <w:sz w:val="28"/>
          <w:szCs w:val="28"/>
        </w:rPr>
        <w:t xml:space="preserve"> и представителей бизнеса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особо </w:t>
      </w:r>
      <w:r>
        <w:rPr>
          <w:sz w:val="28"/>
          <w:szCs w:val="28"/>
        </w:rPr>
        <w:t xml:space="preserve">коррумпированны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сфер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</w:t>
      </w:r>
      <w:r>
        <w:rPr>
          <w:sz w:val="28"/>
          <w:szCs w:val="28"/>
        </w:rPr>
        <w:t xml:space="preserve"> отраслевых (функциональных) органов администрации муниципального образования </w:t>
      </w:r>
      <w:r>
        <w:rPr>
          <w:sz w:val="28"/>
          <w:szCs w:val="28"/>
        </w:rPr>
        <w:t xml:space="preserve">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нградский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подведомственных казенных, бюджетных, автономных учреждений как и в прошлом году </w:t>
      </w:r>
      <w:r>
        <w:rPr>
          <w:sz w:val="28"/>
          <w:szCs w:val="28"/>
        </w:rPr>
        <w:t xml:space="preserve">является деятельность в области</w:t>
      </w:r>
      <w:r>
        <w:rPr>
          <w:sz w:val="28"/>
          <w:szCs w:val="28"/>
        </w:rPr>
        <w:t xml:space="preserve"> земель</w:t>
      </w:r>
      <w:r>
        <w:rPr>
          <w:sz w:val="28"/>
          <w:szCs w:val="28"/>
        </w:rPr>
        <w:t xml:space="preserve">ных и имущественных отношений, </w:t>
      </w:r>
      <w:r>
        <w:rPr>
          <w:sz w:val="28"/>
          <w:szCs w:val="28"/>
        </w:rPr>
        <w:t xml:space="preserve">архитектуры, и муниципального заказа, как наиболее подверженные коррупционным рискам.</w:t>
      </w:r>
      <w:r>
        <w:rPr>
          <w:sz w:val="28"/>
          <w:szCs w:val="28"/>
        </w:rPr>
      </w:r>
    </w:p>
    <w:p>
      <w:pPr>
        <w:pStyle w:val="686"/>
        <w:ind w:right="-5"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планируется</w:t>
      </w:r>
      <w:r>
        <w:rPr>
          <w:sz w:val="28"/>
          <w:szCs w:val="28"/>
        </w:rPr>
        <w:t xml:space="preserve"> продолжать следующую работу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увеличение количества </w:t>
      </w:r>
      <w:r>
        <w:rPr>
          <w:sz w:val="28"/>
          <w:szCs w:val="28"/>
        </w:rPr>
        <w:t xml:space="preserve">публикаци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информационных </w:t>
      </w:r>
      <w:r>
        <w:rPr>
          <w:sz w:val="28"/>
          <w:szCs w:val="28"/>
        </w:rPr>
        <w:t xml:space="preserve">материалов в </w:t>
      </w:r>
      <w:r>
        <w:rPr>
          <w:sz w:val="28"/>
          <w:szCs w:val="28"/>
        </w:rPr>
        <w:t xml:space="preserve">СМИ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направленные на формирование позитивного общественного мнения о деятельности органов местного самоуправления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деятельности </w:t>
      </w:r>
      <w:r>
        <w:rPr>
          <w:sz w:val="28"/>
          <w:szCs w:val="28"/>
        </w:rPr>
        <w:t xml:space="preserve">отраслевых (функциональных) органов администрации муниципального образования Ленинградский район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постоянной </w:t>
      </w:r>
      <w:r>
        <w:rPr>
          <w:sz w:val="28"/>
          <w:szCs w:val="28"/>
        </w:rPr>
        <w:t xml:space="preserve">основе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мероприятий по</w:t>
      </w:r>
      <w:r>
        <w:rPr>
          <w:sz w:val="28"/>
          <w:szCs w:val="28"/>
        </w:rPr>
        <w:t xml:space="preserve"> выявлению и</w:t>
      </w:r>
      <w:r>
        <w:rPr>
          <w:sz w:val="28"/>
          <w:szCs w:val="28"/>
        </w:rPr>
        <w:t xml:space="preserve"> устранению условий, способствующих совершению коррупционных правонарушений, с которыми граждане встречаются наиболее часто (бытовая коррупция), а также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за их выполнением;</w:t>
      </w:r>
      <w:r>
        <w:rPr>
          <w:sz w:val="28"/>
          <w:szCs w:val="28"/>
        </w:rPr>
      </w:r>
    </w:p>
    <w:p>
      <w:pPr>
        <w:pStyle w:val="686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оручить руководителям </w:t>
      </w:r>
      <w:r>
        <w:rPr>
          <w:sz w:val="28"/>
          <w:szCs w:val="28"/>
        </w:rPr>
        <w:t xml:space="preserve">отраслевых (функциональных) органов администрации муниципального образования Ленинградский район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продолжи</w:t>
      </w:r>
      <w:r>
        <w:rPr>
          <w:sz w:val="28"/>
          <w:szCs w:val="28"/>
        </w:rPr>
        <w:t xml:space="preserve">ть проведение </w:t>
      </w:r>
      <w:r>
        <w:rPr>
          <w:sz w:val="28"/>
          <w:szCs w:val="28"/>
        </w:rPr>
        <w:t xml:space="preserve">среди подчиненных </w:t>
      </w:r>
      <w:r>
        <w:rPr>
          <w:sz w:val="28"/>
          <w:szCs w:val="28"/>
        </w:rPr>
        <w:t xml:space="preserve">разъяснительн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недопущении </w:t>
      </w:r>
      <w:r>
        <w:rPr>
          <w:sz w:val="28"/>
          <w:szCs w:val="28"/>
        </w:rPr>
        <w:t xml:space="preserve">совершения коррупционных и иных правонарушений при исполнении ими должностных обязанностей, обеспечивать профессиональное становление, развитие и адаптацию к квалифицированному исполнению должностных обязанностей вновь назначенных служащих.</w:t>
      </w:r>
      <w:r>
        <w:rPr>
          <w:sz w:val="28"/>
          <w:szCs w:val="28"/>
        </w:rPr>
      </w:r>
    </w:p>
    <w:p>
      <w:pPr>
        <w:pStyle w:val="686"/>
        <w:ind w:right="-5" w:firstLine="90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right="-5" w:firstLine="90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right="-5" w:firstLine="90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5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юридического отдела</w:t>
      </w:r>
      <w:r>
        <w:rPr>
          <w:sz w:val="28"/>
          <w:szCs w:val="28"/>
        </w:rPr>
      </w:r>
    </w:p>
    <w:p>
      <w:pPr>
        <w:tabs>
          <w:tab w:val="left" w:pos="7513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Ленин</w:t>
      </w:r>
      <w:bookmarkStart w:id="0" w:name="_GoBack"/>
      <w:r/>
      <w:bookmarkEnd w:id="0"/>
      <w:r>
        <w:rPr>
          <w:sz w:val="28"/>
          <w:szCs w:val="28"/>
        </w:rPr>
        <w:t xml:space="preserve">градский </w:t>
      </w:r>
      <w:r>
        <w:rPr>
          <w:sz w:val="28"/>
          <w:szCs w:val="28"/>
        </w:rPr>
        <w:t xml:space="preserve">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Е.Ю.Офицерова</w:t>
      </w:r>
      <w:r>
        <w:rPr>
          <w:color w:val="000000"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672" w:right="566" w:bottom="1276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Verdana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79736979"/>
      <w:docPartObj>
        <w:docPartGallery w:val="Page Numbers (Top of Page)"/>
        <w:docPartUnique w:val="true"/>
      </w:docPartObj>
      <w:rPr/>
    </w:sdtPr>
    <w:sdtContent>
      <w:p>
        <w:pPr>
          <w:pStyle w:val="69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5" w:hanging="1065"/>
        <w:tabs>
          <w:tab w:val="num" w:pos="17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1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1"/>
    <w:link w:val="680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1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1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1"/>
    <w:link w:val="692"/>
    <w:uiPriority w:val="99"/>
  </w:style>
  <w:style w:type="character" w:styleId="45">
    <w:name w:val="Footer Char"/>
    <w:basedOn w:val="681"/>
    <w:link w:val="694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4"/>
    <w:uiPriority w:val="99"/>
  </w:style>
  <w:style w:type="table" w:styleId="49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1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1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rPr>
      <w:sz w:val="24"/>
      <w:szCs w:val="24"/>
    </w:rPr>
  </w:style>
  <w:style w:type="paragraph" w:styleId="680">
    <w:name w:val="Heading 2"/>
    <w:basedOn w:val="67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paragraph" w:styleId="684" w:customStyle="1">
    <w:name w:val="Знак"/>
    <w:basedOn w:val="6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685">
    <w:name w:val="Table Grid"/>
    <w:basedOn w:val="68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6">
    <w:name w:val="Normal (Web)"/>
    <w:basedOn w:val="679"/>
    <w:uiPriority w:val="99"/>
    <w:pPr>
      <w:spacing w:before="100" w:beforeAutospacing="1" w:after="100" w:afterAutospacing="1"/>
    </w:pPr>
  </w:style>
  <w:style w:type="paragraph" w:styleId="687" w:customStyle="1">
    <w:name w:val="Знак Знак Знак Знак Знак Знак Знак Знак Знак Знак"/>
    <w:basedOn w:val="67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688">
    <w:name w:val="Hyperlink"/>
    <w:basedOn w:val="681"/>
    <w:rPr>
      <w:color w:val="0000ff"/>
      <w:u w:val="single"/>
    </w:rPr>
  </w:style>
  <w:style w:type="paragraph" w:styleId="689">
    <w:name w:val="List Paragraph"/>
    <w:basedOn w:val="679"/>
    <w:uiPriority w:val="34"/>
    <w:qFormat/>
    <w:pPr>
      <w:contextualSpacing/>
      <w:ind w:left="720" w:firstLine="3975"/>
      <w:spacing w:line="221" w:lineRule="exact"/>
    </w:pPr>
  </w:style>
  <w:style w:type="paragraph" w:styleId="690">
    <w:name w:val="Balloon Text"/>
    <w:basedOn w:val="679"/>
    <w:link w:val="691"/>
    <w:rPr>
      <w:rFonts w:ascii="Tahoma" w:hAnsi="Tahoma" w:cs="Tahoma"/>
      <w:sz w:val="16"/>
      <w:szCs w:val="16"/>
    </w:rPr>
  </w:style>
  <w:style w:type="character" w:styleId="691" w:customStyle="1">
    <w:name w:val="Текст выноски Знак"/>
    <w:basedOn w:val="681"/>
    <w:link w:val="690"/>
    <w:rPr>
      <w:rFonts w:ascii="Tahoma" w:hAnsi="Tahoma" w:cs="Tahoma"/>
      <w:sz w:val="16"/>
      <w:szCs w:val="16"/>
    </w:rPr>
  </w:style>
  <w:style w:type="paragraph" w:styleId="692">
    <w:name w:val="Header"/>
    <w:basedOn w:val="679"/>
    <w:link w:val="693"/>
    <w:uiPriority w:val="99"/>
    <w:pPr>
      <w:tabs>
        <w:tab w:val="center" w:pos="4677" w:leader="none"/>
        <w:tab w:val="right" w:pos="9355" w:leader="none"/>
      </w:tabs>
    </w:pPr>
  </w:style>
  <w:style w:type="character" w:styleId="693" w:customStyle="1">
    <w:name w:val="Верхний колонтитул Знак"/>
    <w:basedOn w:val="681"/>
    <w:link w:val="692"/>
    <w:uiPriority w:val="99"/>
    <w:rPr>
      <w:sz w:val="24"/>
      <w:szCs w:val="24"/>
    </w:rPr>
  </w:style>
  <w:style w:type="paragraph" w:styleId="694">
    <w:name w:val="Footer"/>
    <w:basedOn w:val="679"/>
    <w:link w:val="695"/>
    <w:pPr>
      <w:tabs>
        <w:tab w:val="center" w:pos="4677" w:leader="none"/>
        <w:tab w:val="right" w:pos="9355" w:leader="none"/>
      </w:tabs>
    </w:pPr>
  </w:style>
  <w:style w:type="character" w:styleId="695" w:customStyle="1">
    <w:name w:val="Нижний колонтитул Знак"/>
    <w:basedOn w:val="681"/>
    <w:link w:val="694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hart" Target="charts/chart1.xml" /><Relationship Id="rId13" Type="http://schemas.openxmlformats.org/officeDocument/2006/relationships/chart" Target="charts/chart2.xml" /><Relationship Id="rId14" Type="http://schemas.openxmlformats.org/officeDocument/2006/relationships/chart" Target="charts/chart3.xml" /><Relationship Id="rId15" Type="http://schemas.openxmlformats.org/officeDocument/2006/relationships/chart" Target="charts/chart4.xml" /><Relationship Id="rId16" Type="http://schemas.openxmlformats.org/officeDocument/2006/relationships/chart" Target="charts/chart5.xml" /><Relationship Id="rId17" Type="http://schemas.openxmlformats.org/officeDocument/2006/relationships/chart" Target="charts/chart6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3.xlsx" /></Relationships>
</file>

<file path=word/charts/_rels/chart4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4.xlsx" /></Relationships>
</file>

<file path=word/charts/_rels/chart5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5.xlsx" /></Relationships>
</file>

<file path=word/charts/_rels/chart6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6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/>
                <a:cs typeface="Times New Roman"/>
              </a:defRPr>
            </a:pPr>
            <a:r>
              <a:rPr lang="ru-RU" sz="1400" b="1" i="0" u="none" strike="noStrike">
                <a:latin typeface="Times New Roman"/>
                <a:cs typeface="Times New Roman"/>
              </a:rPr>
              <a:t>Структура возростного состава анкетируемых лиц</a:t>
            </a:r>
            <a:endParaRPr lang="ru-RU" sz="1400">
              <a:latin typeface="Times New Roman"/>
              <a:cs typeface="Times New Roman"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43240"/>
          <c:y val="0.139360"/>
          <c:w val="0.953590"/>
          <c:h val="0.740220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Ряд 1</c:v>
                </c:pt>
              </c:strCache>
            </c:strRef>
          </c:tx>
          <c:spPr bwMode="auto"/>
          <c:invertIfNegative val="0"/>
          <c:dLbls>
            <c:dLbl>
              <c:idx val="0"/>
              <c:layout>
                <c:manualLayout>
                  <c:x val="0.021094"/>
                  <c:y val="-0.031746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40</a:t>
                    </a:r>
                    <a:endParaRPr/>
                  </a:p>
                </c:rich>
              </c:tx>
            </c:dLbl>
            <c:dLbl>
              <c:idx val="1"/>
              <c:layout>
                <c:manualLayout>
                  <c:x val="0.023203"/>
                  <c:y val="-0.039683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119</a:t>
                    </a:r>
                    <a:endParaRPr/>
                  </a:p>
                </c:rich>
              </c:tx>
            </c:dLbl>
            <c:dLbl>
              <c:idx val="2"/>
              <c:layout>
                <c:manualLayout>
                  <c:x val="0.029531"/>
                  <c:y val="-0.043651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41</a:t>
                    </a:r>
                    <a:endParaRPr/>
                  </a:p>
                </c:rich>
              </c:tx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/>
                    <a:cs typeface="Times New Roman"/>
                  </a:defRPr>
                </a:pPr>
                <a:endParaRPr lang="ru-RU"/>
              </a:p>
            </c:txPr>
          </c:dLbls>
          <c:cat>
            <c:strRef>
              <c:f>Лист1!$A$2:$A$4</c:f>
              <c:strCache>
                <c:ptCount val="3"/>
                <c:pt idx="0">
                  <c:v xml:space="preserve">18-34 года</c:v>
                </c:pt>
                <c:pt idx="1">
                  <c:v xml:space="preserve">35-54 года</c:v>
                </c:pt>
                <c:pt idx="2">
                  <c:v xml:space="preserve">55 и выше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134</c:v>
                </c:pt>
                <c:pt idx="2">
                  <c:v>44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50"/>
        <c:gapDepth val="171"/>
        <c:shape val="box"/>
        <c:axId val="260679416"/>
        <c:axId val="260679808"/>
      </c:bar3DChart>
      <c:catAx>
        <c:axId val="260679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260679808"/>
        <c:crosses val="autoZero"/>
        <c:auto val="1"/>
        <c:lblAlgn val="ctr"/>
        <c:lblOffset val="100"/>
        <c:noMultiLvlLbl val="0"/>
      </c:catAx>
      <c:valAx>
        <c:axId val="260679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0679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>
                <a:latin typeface="Times New Roman"/>
                <a:cs typeface="Times New Roman"/>
              </a:defRPr>
            </a:pPr>
            <a:r>
              <a:rPr lang="ru-RU" sz="1250" b="1" i="0">
                <a:latin typeface="Times New Roman"/>
                <a:cs typeface="Times New Roman"/>
              </a:rPr>
              <a:t>Оценка степени доверия к органам местного самоуправления муниципального образования по десятибалльной шкале, где "10" самый высокий уровень доверия, а "1" – самый низкий уровень доверия,          человек</a:t>
            </a:r>
            <a:endParaRPr lang="ru-RU" sz="1250">
              <a:latin typeface="Times New Roman"/>
              <a:cs typeface="Times New Roman"/>
            </a:endParaRPr>
          </a:p>
        </c:rich>
      </c:tx>
      <c:layout>
        <c:manualLayout>
          <c:x val="0.017650"/>
          <c:y val="0.02346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95110"/>
          <c:y val="0.296940"/>
          <c:w val="0.894620"/>
          <c:h val="0.617340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Ряд 1</c:v>
                </c:pt>
              </c:strCache>
            </c:strRef>
          </c:tx>
          <c:invertIfNegative val="0"/>
          <c:dLbls>
            <c:dLbl>
              <c:idx val="0"/>
              <c:dLblPos val="ctr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8</a:t>
                    </a:r>
                    <a:endParaRPr/>
                  </a:p>
                </c:rich>
              </c:tx>
            </c:dLbl>
            <c:dLbl>
              <c:idx val="1"/>
              <c:dLblPos val="ctr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11</a:t>
                    </a:r>
                    <a:endParaRPr/>
                  </a:p>
                </c:rich>
              </c:tx>
            </c:dLbl>
            <c:dLbl>
              <c:idx val="3"/>
              <c:dLblPos val="ctr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10</a:t>
                    </a:r>
                    <a:endParaRPr/>
                  </a:p>
                </c:rich>
              </c:tx>
            </c:dLbl>
            <c:dLbl>
              <c:idx val="5"/>
              <c:dLblPos val="ctr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19</a:t>
                    </a:r>
                    <a:endParaRPr/>
                  </a:p>
                </c:rich>
              </c:tx>
            </c:dLbl>
            <c:dLbl>
              <c:idx val="6"/>
              <c:dLblPos val="ctr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24</a:t>
                    </a:r>
                    <a:endParaRPr/>
                  </a:p>
                </c:rich>
              </c:tx>
            </c:dLbl>
            <c:dLbl>
              <c:idx val="7"/>
              <c:dLblPos val="ctr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19</a:t>
                    </a:r>
                    <a:endParaRPr/>
                  </a:p>
                </c:rich>
              </c:tx>
            </c:dLbl>
            <c:dLbl>
              <c:idx val="8"/>
              <c:dLblPos val="ctr"/>
              <c:layout/>
              <c:numFmt formatCode="General" sourceLinked="0"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>
                <c:rich>
                  <a:bodyPr wrap="square" lIns="38099" tIns="19049" rIns="38099" bIns="19049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20</a:t>
                    </a:r>
                    <a:endParaRPr/>
                  </a:p>
                </c:rich>
              </c:tx>
            </c:dLbl>
            <c:dLbl>
              <c:idx val="9"/>
              <c:dLblPos val="ctr"/>
              <c:layout/>
              <c:numFmt formatCode="#,##0.00" sourceLinked="0"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>
                <c:rich>
                  <a:bodyPr wrap="square" lIns="38099" tIns="19049" rIns="38099" bIns="19049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70</a:t>
                    </a:r>
                    <a:endParaRPr/>
                  </a:p>
                </c:rich>
              </c:tx>
            </c:dLbl>
            <c:dLblPos val="ctr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val>
            <c:numRef>
              <c:f>Лист1!$B$2:$B$11</c:f>
              <c:numCache>
                <c:formatCode>General</c:formatCode>
                <c:ptCount val="10"/>
                <c:pt idx="0">
                  <c:v>8</c:v>
                </c:pt>
                <c:pt idx="1">
                  <c:v>11</c:v>
                </c:pt>
                <c:pt idx="2">
                  <c:v>12</c:v>
                </c:pt>
                <c:pt idx="3">
                  <c:v>10</c:v>
                </c:pt>
                <c:pt idx="4">
                  <c:v>24</c:v>
                </c:pt>
                <c:pt idx="5">
                  <c:v>19</c:v>
                </c:pt>
                <c:pt idx="6">
                  <c:v>24</c:v>
                </c:pt>
                <c:pt idx="7">
                  <c:v>19</c:v>
                </c:pt>
                <c:pt idx="8">
                  <c:v>20</c:v>
                </c:pt>
                <c:pt idx="9">
                  <c:v>70</c:v>
                </c:pt>
              </c:numCache>
            </c:numRef>
          </c:val>
        </c:ser>
        <c:dLbls>
          <c:dLblPos val="ctr"/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50"/>
        <c:overlap val="100"/>
        <c:axId val="260680592"/>
        <c:axId val="310464664"/>
      </c:barChart>
      <c:catAx>
        <c:axId val="260680592"/>
        <c:scaling>
          <c:orientation val="minMax"/>
        </c:scaling>
        <c:delete val="0"/>
        <c:axPos val="b"/>
        <c:majorGridlines>
          <c:spPr bwMode="auto"/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310464664"/>
        <c:crosses val="autoZero"/>
        <c:auto val="1"/>
        <c:lblAlgn val="ctr"/>
        <c:lblOffset val="100"/>
        <c:noMultiLvlLbl val="0"/>
      </c:catAx>
      <c:valAx>
        <c:axId val="310464664"/>
        <c:scaling>
          <c:orientation val="minMax"/>
        </c:scaling>
        <c:delete val="1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260680592"/>
        <c:crosses val="autoZero"/>
        <c:crossBetween val="between"/>
      </c:valAx>
    </c:plotArea>
    <c:plotVisOnly val="1"/>
    <c:dispBlanksAs val="gap"/>
    <c:showDLblsOverMax val="0"/>
  </c:chart>
  <c:spPr bwMode="auto">
    <a:xfrm>
      <a:off x="0" y="0"/>
      <a:ext cx="6086471" cy="3248021"/>
    </a:xfrm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r>
              <a:rPr lang="ru-RU" sz="1200" b="1" i="0">
                <a:latin typeface="Times New Roman"/>
                <a:cs typeface="Times New Roman"/>
              </a:rPr>
              <a:t>Оценка коррумпированности органов местного самоуправления по десятибалльной шкале, где "10" самый высокий уровень коррумпированности, "1" – самый низкий уровень коррумпированности, а "0" – полное отсутствие коррупции,       человек</a:t>
            </a:r>
            <a:endParaRPr lang="ru-RU" sz="1200">
              <a:latin typeface="Times New Roman"/>
              <a:cs typeface="Times New Roman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0700"/>
          <c:y val="0.340510"/>
          <c:w val="0.903810"/>
          <c:h val="0.540570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23</a:t>
                    </a:r>
                    <a:endParaRPr/>
                  </a:p>
                </c:rich>
              </c:tx>
            </c:dLbl>
            <c:dLbl>
              <c:idx val="5"/>
              <c:dLblPos val="outEnd"/>
              <c:layout>
                <c:manualLayout>
                  <c:x val="0.008300"/>
                  <c:y val="0.00387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Лист1!$A$1:$K$1</c:f>
              <c:strCach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strCache>
            </c:strRef>
          </c:cat>
          <c:val>
            <c:numRef>
              <c:f>Лист1!$A$2:$K$2</c:f>
              <c:numCache>
                <c:formatCode>General</c:formatCode>
                <c:ptCount val="11"/>
                <c:pt idx="0">
                  <c:v>18</c:v>
                </c:pt>
                <c:pt idx="1">
                  <c:v>18</c:v>
                </c:pt>
                <c:pt idx="2">
                  <c:v>16</c:v>
                </c:pt>
                <c:pt idx="3">
                  <c:v>24</c:v>
                </c:pt>
                <c:pt idx="4">
                  <c:v>18</c:v>
                </c:pt>
                <c:pt idx="5">
                  <c:v>19</c:v>
                </c:pt>
                <c:pt idx="6">
                  <c:v>14</c:v>
                </c:pt>
                <c:pt idx="7">
                  <c:v>16</c:v>
                </c:pt>
                <c:pt idx="8">
                  <c:v>19</c:v>
                </c:pt>
                <c:pt idx="9">
                  <c:v>18</c:v>
                </c:pt>
                <c:pt idx="10">
                  <c:v>15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46"/>
        <c:overlap val="12"/>
        <c:axId val="310465448"/>
        <c:axId val="310465840"/>
      </c:barChart>
      <c:catAx>
        <c:axId val="310465448"/>
        <c:scaling>
          <c:orientation val="minMax"/>
        </c:scaling>
        <c:delete val="0"/>
        <c:axPos val="b"/>
        <c:majorGridlines>
          <c:spPr bwMode="auto"/>
        </c:majorGridlines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310465840"/>
        <c:crosses val="autoZero"/>
        <c:auto val="1"/>
        <c:lblAlgn val="ctr"/>
        <c:lblOffset val="100"/>
        <c:noMultiLvlLbl val="0"/>
      </c:catAx>
      <c:valAx>
        <c:axId val="310465840"/>
        <c:scaling>
          <c:orientation val="minMax"/>
        </c:scaling>
        <c:delete val="1"/>
        <c:axPos val="l"/>
        <c:majorGridlines>
          <c:spPr bwMode="auto"/>
        </c:majorGridlines>
        <c:numFmt formatCode="General" sourceLinked="1"/>
        <c:majorTickMark val="none"/>
        <c:minorTickMark val="none"/>
        <c:tickLblPos val="nextTo"/>
        <c:crossAx val="310465448"/>
        <c:crosses val="autoZero"/>
        <c:crossBetween val="between"/>
      </c:valAx>
    </c:plotArea>
    <c:plotVisOnly val="1"/>
    <c:dispBlanksAs val="gap"/>
    <c:showDLblsOverMax val="0"/>
  </c:chart>
  <c:spPr bwMode="auto">
    <a:xfrm>
      <a:off x="0" y="0"/>
      <a:ext cx="6114552" cy="3275937"/>
    </a:xfrm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/>
                <a:cs typeface="Times New Roman"/>
              </a:defRPr>
            </a:pPr>
            <a:r>
              <a:rPr lang="ru-RU" sz="1400" b="1" i="0" u="none" strike="noStrike">
                <a:latin typeface="Times New Roman"/>
                <a:cs typeface="Times New Roman"/>
              </a:rPr>
              <a:t>Структура возростного состава анкетируемых лиц</a:t>
            </a:r>
            <a:endParaRPr lang="ru-RU" sz="1400">
              <a:latin typeface="Times New Roman"/>
              <a:cs typeface="Times New Roman"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46400"/>
          <c:y val="0.143250"/>
          <c:w val="0.953590"/>
          <c:h val="0.731930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Ряд 1</c:v>
                </c:pt>
              </c:strCache>
            </c:strRef>
          </c:tx>
          <c:spPr bwMode="auto"/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Лист1!$A$2:$A$4</c:f>
              <c:strCache>
                <c:ptCount val="3"/>
                <c:pt idx="0">
                  <c:v xml:space="preserve">18-34 года</c:v>
                </c:pt>
                <c:pt idx="1">
                  <c:v xml:space="preserve">35-54 года</c:v>
                </c:pt>
                <c:pt idx="2">
                  <c:v xml:space="preserve">55 и выше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14</c:v>
                </c:pt>
                <c:pt idx="2">
                  <c:v>10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shape val="box"/>
        <c:axId val="309572600"/>
        <c:axId val="309572992"/>
      </c:bar3DChart>
      <c:catAx>
        <c:axId val="309572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309572992"/>
        <c:crosses val="autoZero"/>
        <c:auto val="1"/>
        <c:lblAlgn val="ctr"/>
        <c:lblOffset val="100"/>
        <c:noMultiLvlLbl val="0"/>
      </c:catAx>
      <c:valAx>
        <c:axId val="3095729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09572600"/>
        <c:crosses val="autoZero"/>
        <c:crossBetween val="between"/>
      </c:valAx>
    </c:plotArea>
    <c:plotVisOnly val="1"/>
    <c:dispBlanksAs val="gap"/>
    <c:showDLblsOverMax val="0"/>
  </c:chart>
  <c:spPr bwMode="auto">
    <a:xfrm>
      <a:off x="0" y="0"/>
      <a:ext cx="6019799" cy="2124073"/>
    </a:xfrm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>
                <a:latin typeface="Times New Roman"/>
                <a:cs typeface="Times New Roman"/>
              </a:defRPr>
            </a:pPr>
            <a:r>
              <a:rPr lang="ru-RU" sz="1250" b="1" i="0">
                <a:latin typeface="Times New Roman"/>
                <a:cs typeface="Times New Roman"/>
              </a:rPr>
              <a:t>Оценка степени доверия к органам местного самоуправления муниципального образования по десятибалльной шкале, где "10" самый высокий уровень доверия, а "1" – самый низкий уровень доверия,          человек</a:t>
            </a:r>
            <a:endParaRPr lang="ru-RU" sz="1250">
              <a:latin typeface="Times New Roman"/>
              <a:cs typeface="Times New Roman"/>
            </a:endParaRPr>
          </a:p>
        </c:rich>
      </c:tx>
      <c:layout>
        <c:manualLayout>
          <c:x val="0.033720"/>
          <c:y val="0.04249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88850"/>
          <c:y val="0.295770"/>
          <c:w val="0.894620"/>
          <c:h val="0.617340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Ряд 1</c:v>
                </c:pt>
              </c:strCache>
            </c:strRef>
          </c:tx>
          <c:invertIfNegative val="0"/>
          <c:dLbls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val>
            <c:numRef>
              <c:f>Лист1!$B$2:$B$11</c:f>
              <c:numCache>
                <c:formatCode>General</c:formatCode>
                <c:ptCount val="10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6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309573776"/>
        <c:axId val="309574168"/>
      </c:barChart>
      <c:catAx>
        <c:axId val="309573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309574168"/>
        <c:crosses val="autoZero"/>
        <c:auto val="1"/>
        <c:lblAlgn val="ctr"/>
        <c:lblOffset val="100"/>
        <c:noMultiLvlLbl val="0"/>
      </c:catAx>
      <c:valAx>
        <c:axId val="309574168"/>
        <c:scaling>
          <c:orientation val="minMax"/>
        </c:scaling>
        <c:delete val="1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309573776"/>
        <c:crosses val="autoZero"/>
        <c:crossBetween val="between"/>
      </c:valAx>
    </c:plotArea>
    <c:plotVisOnly val="1"/>
    <c:dispBlanksAs val="gap"/>
    <c:showDLblsOverMax val="0"/>
  </c:chart>
  <c:spPr bwMode="auto">
    <a:xfrm>
      <a:off x="0" y="0"/>
      <a:ext cx="6153148" cy="3809998"/>
    </a:xfrm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r>
              <a:rPr lang="ru-RU" sz="1200" b="1" i="0">
                <a:latin typeface="Times New Roman"/>
                <a:cs typeface="Times New Roman"/>
              </a:rPr>
              <a:t>Оценка коррумпированности органов местного самоуправления по десятибалльной шкале, где "10" самый высокий уровень коррумпированности, "1" – самый низкий уровень коррумпированности, "0" – полное отсутствие коррупции,       человек</a:t>
            </a:r>
            <a:endParaRPr lang="ru-RU" sz="1200">
              <a:latin typeface="Times New Roman"/>
              <a:cs typeface="Times New Roman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0700"/>
          <c:y val="0.340510"/>
          <c:w val="0.903810"/>
          <c:h val="0.540570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</a:t>
                    </a:r>
                    <a:endParaRPr/>
                  </a:p>
                </c:rich>
              </c:tx>
            </c:dLbl>
            <c:dLbl>
              <c:idx val="1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</a:t>
                    </a:r>
                    <a:endParaRPr/>
                  </a:p>
                </c:rich>
              </c:tx>
            </c:dLbl>
            <c:dLbl>
              <c:idx val="2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</a:t>
                    </a:r>
                    <a:endParaRPr/>
                  </a:p>
                </c:rich>
              </c:tx>
            </c:dLbl>
            <c:dLbl>
              <c:idx val="3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</a:t>
                    </a:r>
                    <a:endParaRPr/>
                  </a:p>
                </c:rich>
              </c:tx>
            </c:dLbl>
            <c:dLbl>
              <c:idx val="4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</a:t>
                    </a:r>
                    <a:endParaRPr/>
                  </a:p>
                </c:rich>
              </c:tx>
            </c:dLbl>
            <c:dLbl>
              <c:idx val="5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</a:t>
                    </a:r>
                    <a:endParaRPr/>
                  </a:p>
                </c:rich>
              </c:tx>
            </c:dLbl>
            <c:dLbl>
              <c:idx val="6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</a:t>
                    </a:r>
                    <a:endParaRPr/>
                  </a:p>
                </c:rich>
              </c:tx>
            </c:dLbl>
            <c:dLbl>
              <c:idx val="7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</a:t>
                    </a:r>
                    <a:endParaRPr/>
                  </a:p>
                </c:rich>
              </c:tx>
            </c:dLbl>
            <c:dLbl>
              <c:idx val="8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</a:t>
                    </a:r>
                    <a:endParaRPr/>
                  </a:p>
                </c:rich>
              </c:tx>
            </c:dLbl>
            <c:dLbl>
              <c:idx val="9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</a:t>
                    </a:r>
                    <a:endParaRPr/>
                  </a:p>
                </c:rich>
              </c:tx>
            </c:dLbl>
            <c:dLbl>
              <c:idx val="10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</a:t>
                    </a:r>
                    <a:endParaRPr/>
                  </a:p>
                </c:rich>
              </c:tx>
            </c:dLbl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/>
                    <a:cs typeface="Times New Roman"/>
                  </a:defRPr>
                </a:pPr>
                <a:endParaRPr lang="ru-RU"/>
              </a:p>
            </c:txPr>
          </c:dLbls>
          <c:cat>
            <c:strRef>
              <c:f>Лист1!$A$1:$K$1</c:f>
              <c:strCach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strCache>
            </c:strRef>
          </c:cat>
          <c:val>
            <c:numRef>
              <c:f>Лист1!$A$2:$K$2</c:f>
              <c:numCache>
                <c:formatCode>General</c:formatCode>
                <c:ptCount val="11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7</c:v>
                </c:pt>
                <c:pt idx="7">
                  <c:v>4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</c:numCache>
            </c:numRef>
          </c:val>
        </c:ser>
        <c:dLbls>
          <c:dLblPos val="outEnd"/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50"/>
        <c:axId val="260674720"/>
        <c:axId val="260675112"/>
      </c:barChart>
      <c:catAx>
        <c:axId val="260674720"/>
        <c:scaling>
          <c:orientation val="minMax"/>
        </c:scaling>
        <c:delete val="0"/>
        <c:axPos val="b"/>
        <c:majorGridlines>
          <c:spPr bwMode="auto"/>
        </c:majorGridlines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260675112"/>
        <c:crosses val="autoZero"/>
        <c:auto val="1"/>
        <c:lblAlgn val="ctr"/>
        <c:lblOffset val="100"/>
        <c:noMultiLvlLbl val="0"/>
      </c:catAx>
      <c:valAx>
        <c:axId val="260675112"/>
        <c:scaling>
          <c:orientation val="minMax"/>
        </c:scaling>
        <c:delete val="1"/>
        <c:axPos val="l"/>
        <c:majorGridlines>
          <c:spPr bwMode="auto"/>
        </c:majorGridlines>
        <c:numFmt formatCode="General" sourceLinked="1"/>
        <c:majorTickMark val="none"/>
        <c:minorTickMark val="none"/>
        <c:tickLblPos val="nextTo"/>
        <c:crossAx val="260674720"/>
        <c:crosses val="autoZero"/>
        <c:crossBetween val="between"/>
      </c:valAx>
    </c:plotArea>
    <c:plotVisOnly val="1"/>
    <c:dispBlanksAs val="gap"/>
    <c:showDLblsOverMax val="0"/>
  </c:chart>
  <c:spPr bwMode="auto">
    <a:xfrm>
      <a:off x="0" y="0"/>
      <a:ext cx="6115046" cy="2997198"/>
    </a:xfrm>
  </c:spPr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4BC89-9C89-4DB3-B338-65704015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C39-2</dc:creator>
  <cp:keywords/>
  <dc:description/>
  <cp:revision>17</cp:revision>
  <dcterms:created xsi:type="dcterms:W3CDTF">2020-02-07T10:11:00Z</dcterms:created>
  <dcterms:modified xsi:type="dcterms:W3CDTF">2024-04-24T11:15:28Z</dcterms:modified>
</cp:coreProperties>
</file>