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79"/>
        <w:contextualSpacing/>
        <w:ind w:left="0" w:right="-113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37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ние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5811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УТВЕРЖДЕНО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решением Совета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муниципального образования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5669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Ленинградский муниципальный  округ Краснодарского края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pStyle w:val="737"/>
        <w:contextualSpacing/>
        <w:ind w:left="0" w:right="-284" w:firstLine="0"/>
        <w:jc w:val="left"/>
        <w:widowControl/>
        <w:tabs>
          <w:tab w:val="left" w:pos="900" w:leader="none"/>
        </w:tabs>
        <w:rPr>
          <w:rFonts w:ascii="FreeSerif" w:hAnsi="FreeSerif" w:cs="FreeSerif"/>
          <w:b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                                                                                 от 26.06.2025 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. № 89</w:t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color w:val="000000" w:themeColor="text1"/>
          <w:sz w:val="28"/>
          <w:szCs w:val="28"/>
        </w:rPr>
      </w:r>
    </w:p>
    <w:p>
      <w:pPr>
        <w:contextualSpacing/>
        <w:ind w:left="5528" w:right="-1136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5"/>
        <w:contextualSpacing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Положение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695"/>
        <w:contextualSpacing/>
        <w:jc w:val="center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Новоуманском</w:t>
      </w:r>
      <w:r>
        <w:rPr>
          <w:rFonts w:ascii="FreeSerif" w:hAnsi="FreeSerif" w:eastAsia="FreeSerif" w:cs="FreeSerif"/>
          <w:b/>
          <w:sz w:val="28"/>
          <w:szCs w:val="28"/>
        </w:rPr>
        <w:t xml:space="preserve"> территориальном отд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еле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льного образования Ленинградский муниципальный окр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keepNext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1.Общие положения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ind w:left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Новоуманский территориальный отдел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(далее – Отдел) создан в соответствии Уставом 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 является территориальным органом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(далее – Администрация округа), осуществляющим реализацию отдельных функций и полномочий по решению вопросов местного значения  в пределах, установленных разделом 3 настоящего Положения, на территории определенной пунктом 1.3. настоящего Положения.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numPr>
          <w:ilvl w:val="1"/>
          <w:numId w:val="1"/>
        </w:numPr>
        <w:contextualSpacing/>
        <w:ind w:left="0" w:firstLine="703"/>
        <w:jc w:val="both"/>
        <w:widowControl w:val="off"/>
        <w:tabs>
          <w:tab w:val="left" w:pos="709" w:leader="none"/>
          <w:tab w:val="clear" w:pos="1430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образован для обеспечения управления и осуществления исполнительно-распорядительных функций в пределах административных гран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иц следующих населенных пунктов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муниципального образования Ленинградский муниципальный окр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: поселок Октябрьский, хутор Реконструктор,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поселок Изобильный, хутор Березанский, поселок Ближний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далее-подведомственная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территория).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3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1.4.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Отдел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зако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нами Краснодарского края, иными нормативными правовыми актами Краснодарского края, Уставом муниципального образования Ленинградский муниципальный округ Краснодарского края, иными муниципальными правовыми актами муниципального округа и настоящим Положением.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47"/>
        <w:contextualSpacing/>
        <w:ind w:left="0" w:right="-56" w:firstLine="709"/>
        <w:jc w:val="both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1.5.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непосредственно подчинен первому заместителю главы Ленинградского муниципального округа, начальнику управления внутренней политики администрации, который непосредственно координирует и контролирует его деятельность.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1.6. Отдел наделен правами юридического лица, имеет бланк, бюджетную смету, лицевой счет в органах казначейства, имеет гербовую печать, штампы и бланки со своим наименованием, имущество, необходимое для осуществления своих полномочий.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1.7. Юридический адрес Отдела:</w:t>
      </w:r>
      <w:r>
        <w:rPr>
          <w:rFonts w:ascii="FreeSerif" w:hAnsi="FreeSerif" w:eastAsia="FreeSerif" w:cs="FreeSerif"/>
          <w:sz w:val="28"/>
          <w:szCs w:val="28"/>
        </w:rPr>
        <w:t xml:space="preserve"> 353761, Краснодарский край, Ленинградский муниципальный округ, поселок Октябрьский, Пионерский пер., д.9</w:t>
      </w:r>
      <w:r>
        <w:rPr>
          <w:rFonts w:ascii="FreeSerif" w:hAnsi="FreeSerif" w:cs="FreeSerif"/>
          <w:color w:val="000000" w:themeColor="text1"/>
          <w:sz w:val="28"/>
          <w:szCs w:val="28"/>
        </w:rPr>
        <w:t xml:space="preserve">, помещение 27.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Почтовый адрес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Отдела: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353761, Краснодарский край, Ленинградский муниципальный округ, поселок Октябрьский, Пионерский пер., д.9</w:t>
      </w:r>
      <w:r>
        <w:rPr>
          <w:rFonts w:ascii="FreeSerif" w:hAnsi="FreeSerif" w:cs="FreeSerif"/>
          <w:color w:val="000000" w:themeColor="text1"/>
          <w:sz w:val="28"/>
          <w:szCs w:val="28"/>
        </w:rPr>
        <w:t xml:space="preserve">, помещение 27.</w:t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8. Полное наименование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Новоуманский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территориальный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 администрации муниципального образования Ленинградский муниципальный округ Краснодарского края.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Сокращенное наименование Отдела: Новоуманский</w:t>
      </w:r>
      <w:r>
        <w:rPr>
          <w:rFonts w:ascii="FreeSerif" w:hAnsi="FreeSerif" w:eastAsia="FreeSerif" w:cs="FreeSerif"/>
          <w:sz w:val="28"/>
          <w:szCs w:val="28"/>
        </w:rPr>
        <w:t xml:space="preserve"> ТО АЛМО.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1.9. Организационно-правовая форма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муниципальное казенное учреждение.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1.10. Учредителем и собственником имущества Отдела является муниципальное образование Ленинградский муниципальный округ Краснодарского края.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Функции и полномочия учредителя от имени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т администрация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 Имущество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закрепляется за Отделом на праве оперативного управления. Отдел владеет, пользуется, расп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оряжается имуществом в соответствии с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1.11. Финансирование расходов на содержание Отдела осуществляется за счет средств бюджета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предусмотренных на соответствующие це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ли (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далее-местный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бюджет).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47"/>
        <w:contextualSpacing/>
        <w:ind w:left="0" w:right="-56" w:firstLine="709"/>
        <w:jc w:val="both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1.12. Отдел вправе в пределах своих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полномочий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выступать от своего имени в суде в качестве истца или ответчика, вступать в правоотношения с другими физическими и юридическими лицами в соответствии с действующим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законодательством Российской Федерации.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left="0" w:right="-56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2.Основные цели и задачи Отдела</w:t>
      </w:r>
      <w:bookmarkStart w:id="1" w:name="_Hlk54857976"/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pStyle w:val="779"/>
        <w:contextualSpacing/>
        <w:ind w:left="0" w:firstLine="709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 Основными целями Отдела являются:</w:t>
      </w:r>
      <w:bookmarkEnd w:id="1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2.1.1. Осу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ществление полномочий органов местного самоуправления на подведомственной территории в соответствии с действующим законодательством и муниципальными правовыми актами органов местного самоуправления муниципального округа, принятых в пределах их компетенции.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2.1.2. Взаимодействие с территориальными органами федеральных ор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ганов исполнительной власти, органами государственной власти Краснодарского края, отраслевыми (функциональными) и территориальными органами Администрации округа, юридическими и физическими лицами по выполнению мероприятий, относящихся к компетенции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2.1.3. Участие в реализации основных направлений единой социально-экономической политики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2.1.4. Оказание содействия избирательным комиссиям в соответствии с законодательством Российской Федерации о выборах и референдумах.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2.1.5. Информационное и организационное обеспечение реализации муниципальной политики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 Основными задачами Отдела являются: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2.2.1. Реализация функций и полномочий, закрепленных за Отделом.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9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2.2.2. Обеспечение прав граждан на участие в решение вопросов местного значения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3. Функции и полномочия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 В границах подведомственной территории, Отдел в соответствии с возложенными на него задачами осуществляет следующие функции и полномочия: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3.1.1. В рамках выполнения мероприятий, направленных на развитие институтов гражданского общества: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и организации деятельности органов территориального общественного самоуправления,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взаим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одействует с органами территориального общественного самоуправления, общественными и иными некоммерческими организациями, религиозными объединениями, осуществляющими деятельность на подведомственной территории, по вопросам, отнесённым к компетенции Отдела;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содействует общественным организациям, осуществляющим свою деятельность на подведомственной территории муниципального округа, в реализации социально-значимых проектов;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мониторинг общественного мнения, прогнозирует возможное обострение социальной напряжённости, принимает профилактические меры по предупреждению конфликтов;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  оказывает содействие депутатам Совета муниципального округа, избирательным комиссиям, комиссиям референдума в проведении на подведомственной территории выборов должностных лиц органов государственной власти и местного самоуправления, референдумов;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подготовку сходов, собраний жителей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3.1.2. В рамках выполнения мероприятий, направленных на комплексное развитие подведомственной территории: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программных документов муниципального округа и Краснодарского края, нацеленных на социально-экономическое развитие территории (стратегий, программ, планов и т.п.), в том числе программ по местным инициативам;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реализацию мероприятий, направленных на комплексное развитие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3.1.3. Присвоение адресов объектам адресации, наименований элементам улично-дорожной сети и элементам планировочной структуры: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ведение адресного хозяйства на подведомственной территории, в том числе присваивает адреса объектам адресации, проводит изменение, аннулирование адресов;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присваивает наименования элементам планировочной структуры, проводит изменение, аннулирование таких наименований;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устанавливает указатели с наименованиями улиц;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размещение информации в государственном адресном реестре.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3.1.4. В рамках выполнения мероприятий по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водоснабжению населения, водоотведению: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подготовке сводного плана мероприятий по подготовке объектов топливно-энергетического и жилищно-коммунального комплекса для работы в осенне-зимнем (отопительном) и весенне-летнем периоде;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обеспечивает информирование уполномоченных органов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Администрации округа об аварийных, экстренных ситуациях в сфере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электр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тепло-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газо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- и водоснабжения населения, возникающих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обеспечивает доведение до жителей, проживающих на подведомственной территории, и организаций информации о сроках ограничений (прекращения) оказания жилищно-коммунальной услуги и принимаемых мерах по устранению аварий.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3.1.5. В сфере дорожной деятельности в отношении автомобильных дорог местного значения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организации дорожного движения;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информирует уполномоченный орган Администрации округа об аварийных участках дорог, расположенных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ремонту улично-дорожной сети, технических средств, дорожных знаков организации дорожного движения;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в Администрацию округа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населёнными пунктами муниципального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pacing w:val="-4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комиссии по приёмке ремонта автомобильных дорог и искусственных дорожных сооружений, дворовых территорий многоквартирных домов, проездов к дворовым территориям многоквартирных домов,</w:t>
      </w:r>
      <w:r>
        <w:rPr>
          <w:rFonts w:ascii="FreeSerif" w:hAnsi="FreeSerif" w:eastAsia="FreeSerif" w:cs="FreeSerif"/>
          <w:spacing w:val="-4"/>
          <w:sz w:val="28"/>
          <w:szCs w:val="28"/>
          <w:highlight w:val="white"/>
        </w:rPr>
        <w:t xml:space="preserve"> в устройстве и содержании технических средств организации дорожного движения на подведомственной территории</w:t>
      </w:r>
      <w:r>
        <w:rPr>
          <w:rFonts w:ascii="FreeSerif" w:hAnsi="FreeSerif" w:eastAsia="FreeSerif" w:cs="FreeSerif"/>
          <w:spacing w:val="-4"/>
          <w:sz w:val="28"/>
          <w:szCs w:val="28"/>
        </w:rPr>
        <w:t xml:space="preserve">;</w:t>
      </w:r>
      <w:r>
        <w:rPr>
          <w:rFonts w:ascii="FreeSerif" w:hAnsi="FreeSerif" w:cs="FreeSerif"/>
          <w:spacing w:val="-4"/>
          <w:sz w:val="28"/>
          <w:szCs w:val="28"/>
        </w:rPr>
      </w:r>
      <w:r>
        <w:rPr>
          <w:rFonts w:ascii="FreeSerif" w:hAnsi="FreeSerif" w:cs="FreeSerif"/>
          <w:spacing w:val="-4"/>
          <w:sz w:val="28"/>
          <w:szCs w:val="28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pacing w:val="-4"/>
          <w:sz w:val="28"/>
          <w:szCs w:val="28"/>
        </w:rPr>
        <w:t xml:space="preserve">6)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рганизует сбор сведений и подготавливает сводную информацию о состоянии дорожно-уличной сети.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3.1.6. В рамках организации благоустройства территории,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а также организации использования, охраны, защиты, воспроизводства лесов особо охраняемых природных территорий: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вносит предложения в Администрацию округа по совершенствованию муниципальных правовых актов в области благоустройства;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план текущего и капитального ремонта объектов благоустройства и строительства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выдачу ордеров на производство земляных работ;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проведением земляных работ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осуществляет выдачу порубочных билетов;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организует и проводит месячники по благоустройству, озеленению и санитарной очистке территории;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прием заявок на спил аварийных деревьев на подведомственной территории и направляет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формирует и оформляет заявку на поставку товаров, выполнение работ, оказание услуг по вопросам благоустройства;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9) организует сбор сведений и подготавливает сводную информацию по благоустройству;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10) участвует в организации работ по содержанию, техническому обслуживанию, эксплуатации объектов уличного освещения;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11) участвует в осуществлении 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</w:rPr>
        <w:t xml:space="preserve"> соблюдением Правил благоустройства;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12) информирует уполномоченный орган Администрации округа о выявленных нарушениях Правил  благоустройства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осуществляет взаимодействие с уполномоченным органом Администрации округа в проведении мероприятий по отлову безнадзорных животных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подведомственной территории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путем направления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заявок на их отлов, осуществление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исполнением и подтверждением количества отловленных безнадзорных животных;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участвует в организации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использования, охраны, защиты, воспроизводства лесов особо охраняемых природных территорий, расположенных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3.1.7. В рамках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разработке муниципальных программ в области охраны окружающей среды и экологической безопасности;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по изменению схемы размещения мест накопления ТКО, графиков вывозки ТКО;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участвует в осуществлении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качеством оказания услуг по сбору и транспортировке ТКО;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сохранностью и исправностью контейнерных площадок и контейнеров, принимает меры по устранению выявленных недостатков;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участвует в осуществлении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содержанием контейнерных площадок, принимает меры по наведению санитарного порядка на них;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выявляет несанкционированные свалки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подаёт заявки на вывоз с территории общего пользования мусора, образовавшегося в результате проведения комплексной уборки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мероприятиях экологической направленности.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3.1.8. В целях организации ритуальных услуг и содержания мест захоронения: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ведёт учёт мест захоронений и обеспечивает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эффективным ведением кладбищенского хозяйства;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  <w:t xml:space="preserve">2) организует работу по содержанию и благоустройству общественных кладбищ закрепленных за Отделом;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3) осуществляет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</w:rPr>
        <w:t xml:space="preserve"> соблюдением порядка погребения;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4) вносит предложения в Администрацию округа о приостановке или прекращении деятельности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месте погребения в случае его заполнения, а также при выявленных нарушениях санитарных и экологических требований;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участвует в рассмотрении жалоб, заявлений и обращений граждан, связанных с оказанием ритуальных услуг;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книг регистрации захоронений, с выдачей   свидетельств о регистрации захоронений;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осуществляет инвентаризацию захоронений общественных кладбищ.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3.1.9. В целях создания условий для обеспечения жителей услугами связи и торговли: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обеспечения жителей на подведомственной территории услугами связи, общественного питания, торговли и бытового обслуживания, почтовой связи, аптечной сети;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проведении мониторинга развития и использования связи, информационно-коммуникационных технологий, цифрового телевидения;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обеспе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чении доступа юридических и физических  лиц к открытым информационным ресурсам Администрации округа и Отдела, за исключением информации в указанных информационных ресурсах, отнесенной в соответствии с законодательством к информации с ограниченным доступом;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вносит предложения по размещению нестационарных торговых объектов и нестационарных объектов по предоставлению услуг на подведомственной территории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оказывает содействие в выявлении самовольно установленных и незаконно размещенных нестационарных торговых объектов на подведомственной территории и передает информацию о выявленных объектах уполномоченному органу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оказывает содействие в определении границ, прилегающих к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вносит в уполномоченный орган Администрации округа предложения по организации ярмарок, торговых выставок, прочих мероприятий выездной торговли;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оказывает содействие в мониторинге объектов потребительской сферы на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подведомственной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3.1.10. В целях обеспечения первичных мер пожарной безопасности и общественного порядка в границах населенных пунктов: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создании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комплектовании списочного состава народных дружин;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составляет графики работы народных дружин и контролирует их исполнение;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взаимодействует с органами охраны правопорядка по вопросам деятельности народных дружин;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оснащение территории общего пользования первичными средствами тушения пожаров и противопожарным инвентарем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bookmarkStart w:id="2" w:name="dst223"/>
      <w:r>
        <w:rPr>
          <w:rFonts w:ascii="FreeSerif" w:hAnsi="FreeSerif" w:eastAsia="FreeSerif" w:cs="FreeSerif"/>
          <w:sz w:val="28"/>
          <w:szCs w:val="28"/>
        </w:rPr>
      </w:r>
      <w:bookmarkEnd w:id="2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организует и принимает меры по оповещению населения и подразделений Государственной противопожарной службы о пожаре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bookmarkStart w:id="3" w:name="dst224"/>
      <w:r>
        <w:rPr>
          <w:rFonts w:ascii="FreeSerif" w:hAnsi="FreeSerif" w:eastAsia="FreeSerif" w:cs="FreeSerif"/>
          <w:sz w:val="28"/>
          <w:szCs w:val="28"/>
        </w:rPr>
      </w:r>
      <w:bookmarkEnd w:id="3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т предложения в Администрацию округа по включению мероприятий по обеспечению пожарной безопасности в планы, схемы и программы развития  муниципального округа, взаимодействует с организациями, обеспечивающими реализацию мероприятий указанного плана в целях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контроля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их своевременным и надлежащим выполнением</w:t>
      </w:r>
      <w:bookmarkStart w:id="4" w:name="dst226"/>
      <w:r>
        <w:rPr>
          <w:rFonts w:ascii="FreeSerif" w:hAnsi="FreeSerif" w:eastAsia="FreeSerif" w:cs="FreeSerif"/>
          <w:sz w:val="28"/>
          <w:szCs w:val="28"/>
        </w:rPr>
      </w:r>
      <w:bookmarkEnd w:id="4"/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информировании населения о мерах пожарной безопасности, в том числе посредством организации и проведения сходов и собраний граждан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bookmarkStart w:id="5" w:name="dst227"/>
      <w:r>
        <w:rPr>
          <w:rFonts w:ascii="FreeSerif" w:hAnsi="FreeSerif" w:eastAsia="FreeSerif" w:cs="FreeSerif"/>
          <w:sz w:val="28"/>
          <w:szCs w:val="28"/>
        </w:rPr>
      </w:r>
      <w:bookmarkEnd w:id="5"/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вносит предложения по установлению особого противопожарного режима в случае повышения пожарной опасности;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10) организует своевременную очистку подведомственной территории от горючих отходов, мусора, сухой ра</w:t>
      </w:r>
      <w:r>
        <w:rPr>
          <w:rFonts w:ascii="FreeSerif" w:hAnsi="FreeSerif" w:eastAsia="FreeSerif" w:cs="FreeSerif"/>
          <w:sz w:val="28"/>
          <w:szCs w:val="28"/>
        </w:rPr>
        <w:t xml:space="preserve">стительности, зеленых насаждений, произрастающих в непосредственной близости от домов и зданий, препятствующих установке подъемных механизмов и свободному проезду пожарной и специальной техники к месту пожара, а также к источникам пожарного водоснабжения;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организует и участвует в работе по очистке территорий от сухой травянистой растительности, пожнивных остатков, валежника, порубочных остатков, мусора и других горючих материалов;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12) информирует уполномоченный орган Администрации округа о нарушениях противопожарных разрывов.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3.1.11. В рамках участия в предупреждении и ликвидации последствий чрезвычайных ситуаций: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принимает участие в проведении эвакуационных мероприятий в случае чрезвычайных ситуаций;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в Администрацию округа и принимает участие в работе комиссии по вопросам предупреждения и ликвидации чрезвычайных ситуаций природного и техногенного характера и обеспечения пожарной безопасности;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 установленном порядке сбор и обмен информацией в области защиты населения и территорий от чрезвычайных ситуаций, обеспечивает своев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скопления людей, об угрозе возникновения или о возникновении чрезвычайных ситуаций;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оказывает содействие по мобилизационной подготовке населения, проживающего на подведомственной территории, и мобилизации.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3.1.12. В целях осуществления мероприятий по обеспечению </w:t>
      </w:r>
      <w:r>
        <w:rPr>
          <w:rFonts w:ascii="FreeSerif" w:hAnsi="FreeSerif" w:eastAsia="FreeSerif" w:cs="FreeSerif"/>
          <w:sz w:val="28"/>
          <w:szCs w:val="28"/>
        </w:rPr>
        <w:t xml:space="preserve">безопасности людей на водных объектах, охране их жизни и здоровья: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1) участвует в реализации планов мероприятий по обеспечению безопасности людей на водоёмах;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2) принимает участие в мероприятиях по благоустройству пляжей, других мест массового отдыха населения на водоёмах;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3) обеспечивает население всесторонней информацией, необходимой для безопасного пребывания людей на водных объектах.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3.1.13. В рамках участия в профилактике терроризма и экстремизма, а также в минимизации и (или) ликвидации последствий проявлений терроризма и экстремизма: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проведение информационно-пропагандистских мероприятий по профилактике терроризма и его общественной опасности в органи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зациях, расположенных на подведомственной территории, а также по формированию у населения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мероприятиях по профилактике терроризма, а также по минимизации и (или) ликвидации последствий его проявлений, организуемых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вносит предложения по вопросам профилактики терроризма, а также в минимизации и (или) ликвидации последствий его проявлений в Администрацию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3.1.14. В целях содействия в развитии сельскохозяйственного производства, создания условий для развития малого и среднего предпринимательства: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ствует в создании общих благоприятных условий при осуществлении хозяйственной деятельности личных подсобных хозяйств  и субъектов малого и среднего предпринимательства, определяемых в соответствии с критериями, установленными федеральным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в организации выставок, ярмарок, семинаров и иных мероприятий, направленных на повышение информированности и деловой активности  личных подсобных хозяйств и субъектов предпринимательства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собирает информацию о деятельности  личных под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собных хозяйств и субъектов малого и среднего предпринимательства, предоставляет иную информацию в рамках компетенции Отдела, необходимую для формирования  статистических и иных  отчетов по муниципальному округу в уполномоченный орган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3.1.15. В рамках участия в создании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йской Федерации, проживающих на подведомственной территории,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конфликтов: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информирование населения по вопросам миграционной политики;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оказывает содействие правоохранительным органам в осуществлении мер по недопущению межнациональных конфликтов;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ведет пропаганду толерантного поведения к людям других национальностей и религиозных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конфессий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3.1.16. В целях обеспечения нуждающихся в жилых помещениях малоимущих граждан жилыми помещениями, организации строительства и содержания муниципального жилищного фонда: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eastAsia="FreeSerif" w:cs="FreeSerif"/>
          <w:sz w:val="28"/>
          <w:szCs w:val="28"/>
          <w:highlight w:val="white"/>
        </w:rPr>
      </w:r>
    </w:p>
    <w:p>
      <w:pPr>
        <w:pStyle w:val="697"/>
        <w:contextualSpacing/>
        <w:ind w:firstLine="708"/>
        <w:jc w:val="both"/>
        <w:spacing w:before="0" w:after="0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 участвует в комиссиях по признанию в установленном порядке жилых помещений муниципального и частного жилищного фонда непригодными для проживания, многоквартирных домов, а также по обследованию жилых помещений и домов всех форм собственности;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участвует в организации проведения общих собраний собственников жилых помещений в многоквартирных домах от имени Администрации округа в случаях, установленных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информирует уполномоченный орган Администрации округа о проводимых общих собраниях собственников жилых помещений на подведомственной территории, а также о перечне вопросов, поставленных перед такими собраниями;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участвует от имени Администрации округа в проведении общих собраний собственников жилых помещений на подведомственной территории.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3.1.17. В рамках участия в работе с населением в сфере земельного законодательства и имущественных отношений: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информирует уполномоченный орган Администрации округа о нарушениях земельного законодательства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вносит предложения по подбору земельных участков в целях реализации инвестиционных проектов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принимает участие в обследовании земельных участков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выявляет самовольные постройки на подведомственной территории и передает информацию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выявляет бесхозяйное недвижимое имущество на подведомственной территории, в том числе бесхозяйные объекты тепловых, газовых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 и направляет информацию о выявленных объектах в уполномоченный орган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осуществляет ведение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похозяйственного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учета, выдает населению справки и выписки из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похозяйственных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книг, в том числе в целях государственной регистрации прав граждан на объекты недвижимости;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обеспечивает в случае необходимости уполномоченный орган Администрации округа фото- и видеоматериалами в отношении имущества муниципального округа, расположенного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участвует в сборе информации о муниципальном имуществе, расположенном на подведомственной территории, и её передаче в уполномоченные органы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</w:rPr>
        <w:t xml:space="preserve">3.1.18. В целях рассмотрения обращений граждан:</w:t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  <w:r>
        <w:rPr>
          <w:rFonts w:ascii="FreeSerif" w:hAnsi="FreeSerif" w:cs="FreeSerif"/>
          <w:color w:val="000000" w:themeColor="text1"/>
          <w:sz w:val="28"/>
          <w:szCs w:val="28"/>
          <w:highlight w:val="white"/>
        </w:rPr>
      </w:r>
    </w:p>
    <w:p>
      <w:pPr>
        <w:pStyle w:val="695"/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осуществляет подготовку информации для ответов на обращения граждан, поступившие через систему «Платформа обратной связи» и направляет ее в уполномоченный орган Администрации округа в рамках установленного срока;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5"/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подготовку информац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ии по обращениям граждан, поступивших в Администрацию округа в рамках Федерального закона от 2 мая 2006 г. №59-ФЗ «О порядке обращений граждан Российской Федерации», и направляет ее в уполномоченный орган Администрации округа в рамках установленного срока;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695"/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предоставляет информационные материалы и иную информацию для размещения сведений о работе Отдела на официальном сайте Администрации округа и в сообществах в социальной сети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ВКонтакте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, Одноклассники и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мессенджере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«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Telegram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».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3.1.19. Иные функции: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1) участвует в работе административной комиссии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2) осуществляет уведомительную регистрацию трудовых договоров с работодателем физическим лицом, не являющимся индивидуальным предпринимателем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3) осуществляет подготовку проектов правовых актов по вопросам, входящим в компетенцию Отдела, а также вносит замечания и предложения по проектам правовых актов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4) обеспечивает предоставление муниципальных услуг относящихся к компетенции Отдела, в соответствии с  административными регламентами Администрации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5) осуществляет меры по противодействию коррупции на подведомственной территории;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6) участвует в организации приема граждан, а также в рассмотрении жалоб, заявлений и предложений граждан, принимает по ним необходимые меры в пределах своих полномочий;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7) участвует в деятельности различных комиссий, созданных Администрацией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8) предоставляет информацию справочного характера, имеющуюся в распоряжении Отдела, осуществляет подготовку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характеристик граждан, проживающих на подведомственной территории и дает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разъяснения юридическим и физическим лицам по вопросам, относящимся к компетенции Отдела;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9) осуществляет ведение учета личных подсобных хозяйств на подведомственной территории;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10)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осуществляет ведение делопроизводства Отдела;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11) ведет учет отработанного времени, осужденных к выполнению обязательных и исправительных работ;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12) организует проведение общих собраний участников долевой собственности на подведомственной территории в соответствии с Федеральным законом от 24 июля 2002 г. №101-ФЗ «Об обороте земель сельскохозяйственного назначения»;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13) организует участие граждан в мероприятиях муниципального округа в сфере социальной политики (форумах, конкурсах, акциях)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14) взаимодействует с комиссией по делам несовершеннолетних и защите их прав в работе с неблагополучными семьями и по профилактике правонарушений несовершеннолетних и защите их прав;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779"/>
        <w:contextualSpacing/>
        <w:ind w:left="0" w:firstLine="708"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15) участвует в организации увековечения памяти ветеранов ВОВ, локальных конфликтов, выдающихся жителей муниципального округа;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16) осуществляет сбор статистических данных для различного вида отчетов с последующей передачей в Администрацию округа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 xml:space="preserve">17) осуществляет согласование переустройства газораспределительных сетей на подведомственной территории в соответствии с действующим законодательством;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18) выполняет иные функции и полномочия в соответствии с Уставом муниципального округа, муниципальными правовыми актами муниципального округа.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widowControl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4.Права и обязанности 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 Отдел для осуществления возложенных на него полномочий имеет право: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4.1.1. Осуществлять подготовку проектов правовых актов администрации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4.1.2. Запрашивать и получать в установленном порядке от государственных органов, органов местного самоуправления, различных организаций сведения, необходимые для осуществления возложенных на Отдел полномочий.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4.1.3. Привлекать к участию в своей деятельности (с согласия соответствующего руководителя) представителей </w:t>
      </w:r>
      <w:r>
        <w:rPr>
          <w:rFonts w:ascii="FreeSerif" w:hAnsi="FreeSerif" w:eastAsia="FreeSerif" w:cs="FreeSerif"/>
          <w:sz w:val="28"/>
          <w:szCs w:val="28"/>
        </w:rPr>
        <w:t xml:space="preserve">отраслевых (функциональных) и территориальных органов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4.1.4. Проводить совещания, семинары, встречи и другие мероприятия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4.1.5. Информировать население через средства массовой информации по вопросам, входящим в компетенцию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4.1.6. Вести переписку и взаимодействовать в иных формах с государственными органами Российской Федерации,</w:t>
      </w:r>
      <w:bookmarkStart w:id="6" w:name="5"/>
      <w:r>
        <w:rPr>
          <w:rFonts w:ascii="FreeSerif" w:hAnsi="FreeSerif" w:eastAsia="FreeSerif" w:cs="FreeSerif"/>
          <w:sz w:val="28"/>
          <w:szCs w:val="28"/>
        </w:rPr>
      </w:r>
      <w:bookmarkEnd w:id="6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Краснодарского края, органами местного самоуправления, их должностными лицами, общественными объединениями, юридическими и физическими лицами по вопросам, отнесённым к полномочиям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 Отдел для осуществления возложенных на него функций обязан: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4.2.1. Осуществлять собственный документооборот и работу по комплектованию, хранению, учету и использованию архивных документов, образовавшихся в процессе деятельности Отдела, в соответствии с действующим законодательством.</w:t>
      </w: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4.2.2.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Осуществлять иные полномочия в соответствии с Бюджетным кодексом Российской Федерации, иными актами бюджетного законодательства Российской Федерации, федеральными и краевыми законами, правовыми актами органов местного самоуправления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4.2.3. Начальник и сотрудники Отдела несут ответственность за нарушение норм Конститу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ции Российской Федерации, действующего законодательства Российской Федерации и Краснодарского края, Устава  муниципального округа, муниципальных правовых актов муниципального округа, неисполнение или ненадлежащее исполнение своих должностных обязанностей. 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  <w:t xml:space="preserve">5. Начальник Отдела</w:t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  <w:highlight w:val="white"/>
        </w:rPr>
      </w:pPr>
      <w:r>
        <w:rPr>
          <w:rFonts w:ascii="FreeSerif" w:hAnsi="FreeSerif" w:eastAsia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  <w:r>
        <w:rPr>
          <w:rFonts w:ascii="FreeSerif" w:hAnsi="FreeSerif" w:cs="FreeSerif"/>
          <w:b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5.1. Отдел возглавляет начальник, назначаемый на должность и освобождаемый от должности главой  муниципального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5.2. Начальник Отдела подчиняется первому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5.3. Начальник Отдела осуществляет общее руководство деятельностью Отдела на основе единоначалия и несет персональную ответственность за выполнение возложенных на Отдел задач.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5.4. Перечень должностных обязанностей и прав начальника Отдела определяется должностной инструкцией, утверждаемой правовым актом Администрации округа.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 Начальник Отдела обладает следующими полномочиями: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5.5.1. Вносит предложения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ервому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аместителю главы Ленинградского муниципального округа, начальнику управления внутренней политики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о приеме на работу граждан, их перевод и увольнение, также о наложении дисциплинарных взысканий либо привлечении к материальной ответственности.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5.5.2. Вносит предложения </w:t>
      </w:r>
      <w:r>
        <w:rPr>
          <w:rFonts w:ascii="FreeSerif" w:hAnsi="FreeSerif" w:eastAsia="FreeSerif" w:cs="FreeSerif"/>
          <w:sz w:val="28"/>
          <w:szCs w:val="28"/>
        </w:rPr>
        <w:t xml:space="preserve">первому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аместителю главы Ленинградского муниципального округа, начальнику управления внутренней политики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о поощрении р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аботников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5.5.3.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исполнением работниками Отдела их должностных обязанностей, а также собственных поручений и указаний.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5.5.4. Рассматривает обращения граждан, в пределах своей компетенции; осуществляет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соблюдением порядка рассмотрения обращений граждан, анализирует содержание поступающих обращений, принимает меры по своевременному выявлению и устранению причин нарушений прав, свобод и законных интересов граждан.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5.5.5. Принимает в пределах своей компетенции и в установленном порядке меры по устранению нарушений законодательства.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5.5.6. Подписывает документы от имени Отдела в пределах своей компетенции.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5.5.7. </w:t>
      </w:r>
      <w:bookmarkStart w:id="7" w:name="6"/>
      <w:r>
        <w:rPr>
          <w:rFonts w:ascii="FreeSerif" w:hAnsi="FreeSerif" w:eastAsia="FreeSerif" w:cs="FreeSerif"/>
          <w:sz w:val="28"/>
          <w:szCs w:val="28"/>
        </w:rPr>
      </w:r>
      <w:bookmarkEnd w:id="7"/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Возглавляет комиссии, рабочие совещания, созданные для рассмотрения вопросов, отнесенных к компетенции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5.5.8. Осуществляет в пределах своих полномочий организационное, правовое, финансово-хозяйственное, материально-техническое и информационно-технологическое обеспечение деятельности Отдела.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5.5.9. Осуществляет иные полномочия в целях организации деятельности Отдела и реализации его функций.</w:t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  <w:tab/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5.6.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 период отсутствия начальника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(служебна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я командировка, отпуск, временная нетрудоспособность и прочее) исполнение его обязанностей возлагается на иное лицо на основании распоряжения Администрации округа (или в соответствии с распределением обязанностей).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0"/>
        <w:jc w:val="left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708"/>
        <w:jc w:val="center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Структура и штатное расписание Отдела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8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8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6.1. </w:t>
      </w:r>
      <w:r>
        <w:rPr>
          <w:rFonts w:ascii="FreeSerif" w:hAnsi="FreeSerif" w:eastAsia="FreeSerif" w:cs="FreeSerif"/>
          <w:sz w:val="28"/>
          <w:szCs w:val="28"/>
        </w:rPr>
        <w:t xml:space="preserve">Отдел может иметь структурные подразделения.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8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6.2.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Сотрудники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назначаются на должность и освобождаются от должности главой Ленинградского муниципального округа, на основании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распоряжения Администрации округа.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780"/>
        <w:contextualSpacing/>
        <w:ind w:left="0"/>
        <w:jc w:val="both"/>
        <w:spacing w:after="0" w:line="240" w:lineRule="auto"/>
        <w:widowControl/>
        <w:tabs>
          <w:tab w:val="left" w:pos="697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6.3. Функциональные обязанности, права, ответственность, а также требования к квалификации сотрудников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устанавливаются в их </w:t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fldChar w:fldCharType="begin"/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instrText xml:space="preserve">HYPERLINK "http://pandia.ru/text/category/dolzhnostnie_instruktcii/" \o "Должностные инструкции"</w:instrText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fldChar w:fldCharType="separate"/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t xml:space="preserve">должностных</w:t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fldChar w:fldCharType="end"/>
      </w:r>
      <w:r>
        <w:rPr>
          <w:rStyle w:val="754"/>
          <w:rFonts w:ascii="FreeSerif" w:hAnsi="FreeSerif" w:eastAsia="FreeSerif" w:cs="FreeSerif"/>
          <w:color w:val="000000" w:themeColor="text1"/>
          <w:sz w:val="28"/>
          <w:szCs w:val="28"/>
          <w:u w:val="none"/>
        </w:rPr>
        <w:t xml:space="preserve"> инструкциях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widowControl w:val="off"/>
        <w:tabs>
          <w:tab w:val="left" w:pos="709" w:leader="none"/>
          <w:tab w:val="left" w:pos="1560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6.4</w:t>
      </w:r>
      <w:r>
        <w:rPr>
          <w:rFonts w:ascii="FreeSerif" w:hAnsi="FreeSerif" w:eastAsia="FreeSerif" w:cs="FreeSerif"/>
          <w:sz w:val="28"/>
          <w:szCs w:val="28"/>
        </w:rPr>
        <w:t xml:space="preserve">. Штатное расписание Отдела утверждается главой муниципального округа в пределах установленной численности сотрудников и фонда оплаты труда.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779"/>
        <w:contextualSpacing/>
        <w:ind w:left="0"/>
        <w:jc w:val="left"/>
        <w:spacing w:after="0" w:line="240" w:lineRule="auto"/>
        <w:widowControl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779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7. Реорганизация, ликвидация Отдела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779"/>
        <w:contextualSpacing/>
        <w:ind w:left="0"/>
        <w:jc w:val="center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7.1. Ликвидация или реорганизация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7.2. Прекращение деятельности Отдела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производится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 соблюдением процедур, предусмотренных действующим законодательством.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7.3.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несет ответственность за сохранность документов (управленческих, финансово-хозяйственных, по личному составу и др.).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7.4. При реорганизации 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7.5. При ликвидации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Отдела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 источника комплектования муниципального архива, архивные документы в упорядоченном состоянии передаются ликвидационной комиссией (ликвидатором) в соответствующий муниципальный архив. Упорядочение документов организует ликвидационная комиссия с участием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представителя соответствующего муниципального архива.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ind w:firstLine="666"/>
        <w:jc w:val="both"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Первый заместитель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округа,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начальник управления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внутренней политики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contextualSpacing/>
        <w:spacing w:after="0" w:line="240" w:lineRule="auto"/>
        <w:widowControl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                                                                   В.Н. Шер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стобитов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7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399" w:hanging="555"/>
        <w:widowControl/>
        <w:tabs>
          <w:tab w:val="left" w:pos="2399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  <w:widowControl/>
        <w:tabs>
          <w:tab w:val="left" w:pos="143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28" w:hanging="720"/>
        <w:widowControl/>
        <w:tabs>
          <w:tab w:val="left" w:pos="2128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92" w:hanging="1080"/>
        <w:widowControl/>
        <w:tabs>
          <w:tab w:val="left" w:pos="3192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896" w:hanging="1080"/>
        <w:widowControl/>
        <w:tabs>
          <w:tab w:val="left" w:pos="3896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60" w:hanging="1440"/>
        <w:widowControl/>
        <w:tabs>
          <w:tab w:val="left" w:pos="4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24" w:hanging="1800"/>
        <w:widowControl/>
        <w:tabs>
          <w:tab w:val="left" w:pos="6024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28" w:hanging="1800"/>
        <w:widowControl/>
        <w:tabs>
          <w:tab w:val="left" w:pos="672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792" w:hanging="2160"/>
        <w:widowControl/>
        <w:tabs>
          <w:tab w:val="left" w:pos="7792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782"/>
    <w:link w:val="750"/>
    <w:uiPriority w:val="9"/>
    <w:rPr>
      <w:rFonts w:ascii="Arial" w:hAnsi="Arial" w:eastAsia="Arial" w:cs="Arial"/>
      <w:sz w:val="40"/>
      <w:szCs w:val="40"/>
    </w:rPr>
  </w:style>
  <w:style w:type="character" w:styleId="675">
    <w:name w:val="Heading 2 Char"/>
    <w:basedOn w:val="782"/>
    <w:link w:val="810"/>
    <w:uiPriority w:val="9"/>
    <w:rPr>
      <w:rFonts w:ascii="Arial" w:hAnsi="Arial" w:eastAsia="Arial" w:cs="Arial"/>
      <w:sz w:val="34"/>
    </w:rPr>
  </w:style>
  <w:style w:type="character" w:styleId="676">
    <w:name w:val="Heading 3 Char"/>
    <w:basedOn w:val="782"/>
    <w:link w:val="716"/>
    <w:uiPriority w:val="9"/>
    <w:rPr>
      <w:rFonts w:ascii="Arial" w:hAnsi="Arial" w:eastAsia="Arial" w:cs="Arial"/>
      <w:sz w:val="30"/>
      <w:szCs w:val="30"/>
    </w:rPr>
  </w:style>
  <w:style w:type="character" w:styleId="677">
    <w:name w:val="Heading 4 Char"/>
    <w:basedOn w:val="78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678">
    <w:name w:val="Heading 5 Char"/>
    <w:basedOn w:val="782"/>
    <w:link w:val="742"/>
    <w:uiPriority w:val="9"/>
    <w:rPr>
      <w:rFonts w:ascii="Arial" w:hAnsi="Arial" w:eastAsia="Arial" w:cs="Arial"/>
      <w:b/>
      <w:bCs/>
      <w:sz w:val="24"/>
      <w:szCs w:val="24"/>
    </w:rPr>
  </w:style>
  <w:style w:type="character" w:styleId="679">
    <w:name w:val="Heading 6 Char"/>
    <w:basedOn w:val="782"/>
    <w:link w:val="814"/>
    <w:uiPriority w:val="9"/>
    <w:rPr>
      <w:rFonts w:ascii="Arial" w:hAnsi="Arial" w:eastAsia="Arial" w:cs="Arial"/>
      <w:b/>
      <w:bCs/>
      <w:sz w:val="22"/>
      <w:szCs w:val="22"/>
    </w:rPr>
  </w:style>
  <w:style w:type="character" w:styleId="680">
    <w:name w:val="Heading 7 Char"/>
    <w:basedOn w:val="782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8 Char"/>
    <w:basedOn w:val="782"/>
    <w:link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682">
    <w:name w:val="Heading 9 Char"/>
    <w:basedOn w:val="782"/>
    <w:link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683">
    <w:name w:val="Header Char"/>
    <w:basedOn w:val="782"/>
    <w:link w:val="744"/>
    <w:uiPriority w:val="99"/>
  </w:style>
  <w:style w:type="character" w:styleId="684">
    <w:name w:val="Caption Char"/>
    <w:basedOn w:val="782"/>
    <w:link w:val="728"/>
    <w:uiPriority w:val="35"/>
    <w:rPr>
      <w:b/>
      <w:bCs/>
      <w:color w:val="4f81bd" w:themeColor="accent1"/>
      <w:sz w:val="18"/>
      <w:szCs w:val="18"/>
    </w:rPr>
  </w:style>
  <w:style w:type="paragraph" w:styleId="685">
    <w:name w:val="footnote text"/>
    <w:basedOn w:val="688"/>
    <w:link w:val="730"/>
    <w:uiPriority w:val="99"/>
    <w:semiHidden/>
    <w:unhideWhenUsed/>
    <w:pPr>
      <w:spacing w:after="40" w:line="240" w:lineRule="auto"/>
    </w:pPr>
    <w:rPr>
      <w:sz w:val="18"/>
    </w:rPr>
  </w:style>
  <w:style w:type="paragraph" w:styleId="686">
    <w:name w:val="endnote text"/>
    <w:basedOn w:val="688"/>
    <w:link w:val="746"/>
    <w:uiPriority w:val="99"/>
    <w:semiHidden/>
    <w:unhideWhenUsed/>
    <w:pPr>
      <w:spacing w:after="0" w:line="240" w:lineRule="auto"/>
    </w:pPr>
    <w:rPr>
      <w:sz w:val="20"/>
    </w:rPr>
  </w:style>
  <w:style w:type="paragraph" w:styleId="687" w:default="1">
    <w:name w:val="Normal"/>
    <w:link w:val="688"/>
    <w:uiPriority w:val="0"/>
    <w:qFormat/>
    <w:pPr>
      <w:spacing w:after="0" w:line="240" w:lineRule="auto"/>
      <w:widowControl/>
    </w:pPr>
    <w:rPr>
      <w:rFonts w:ascii="Times New Roman" w:hAnsi="Times New Roman"/>
      <w:sz w:val="20"/>
    </w:rPr>
  </w:style>
  <w:style w:type="character" w:styleId="688" w:default="1">
    <w:name w:val="Normal"/>
    <w:link w:val="687"/>
    <w:rPr>
      <w:rFonts w:ascii="Times New Roman" w:hAnsi="Times New Roman"/>
      <w:sz w:val="20"/>
    </w:rPr>
  </w:style>
  <w:style w:type="paragraph" w:styleId="689">
    <w:name w:val="toc 2"/>
    <w:basedOn w:val="687"/>
    <w:next w:val="687"/>
    <w:link w:val="690"/>
    <w:uiPriority w:val="39"/>
    <w:pPr>
      <w:ind w:left="283"/>
      <w:spacing w:after="57"/>
      <w:widowControl/>
    </w:pPr>
  </w:style>
  <w:style w:type="character" w:styleId="690">
    <w:name w:val="toc 2"/>
    <w:basedOn w:val="688"/>
    <w:link w:val="689"/>
  </w:style>
  <w:style w:type="paragraph" w:styleId="691">
    <w:name w:val="Title Char"/>
    <w:basedOn w:val="781"/>
    <w:link w:val="692"/>
    <w:rPr>
      <w:sz w:val="48"/>
    </w:rPr>
  </w:style>
  <w:style w:type="character" w:styleId="692">
    <w:name w:val="Title Char"/>
    <w:basedOn w:val="782"/>
    <w:link w:val="691"/>
    <w:rPr>
      <w:sz w:val="48"/>
    </w:rPr>
  </w:style>
  <w:style w:type="paragraph" w:styleId="693">
    <w:name w:val="table of figures"/>
    <w:basedOn w:val="687"/>
    <w:next w:val="687"/>
    <w:link w:val="694"/>
  </w:style>
  <w:style w:type="character" w:styleId="694">
    <w:name w:val="table of figures"/>
    <w:basedOn w:val="688"/>
    <w:link w:val="693"/>
  </w:style>
  <w:style w:type="paragraph" w:styleId="695">
    <w:name w:val="No Spacing"/>
    <w:link w:val="696"/>
    <w:pPr>
      <w:spacing w:after="0" w:line="240" w:lineRule="auto"/>
      <w:widowControl/>
    </w:pPr>
  </w:style>
  <w:style w:type="character" w:styleId="696">
    <w:name w:val="No Spacing"/>
    <w:link w:val="695"/>
  </w:style>
  <w:style w:type="paragraph" w:styleId="697">
    <w:name w:val="Normal (Web)"/>
    <w:basedOn w:val="687"/>
    <w:link w:val="698"/>
    <w:pPr>
      <w:spacing w:beforeAutospacing="1" w:afterAutospacing="1"/>
      <w:widowControl/>
    </w:pPr>
    <w:rPr>
      <w:sz w:val="24"/>
    </w:rPr>
  </w:style>
  <w:style w:type="character" w:styleId="698">
    <w:name w:val="Normal (Web)"/>
    <w:basedOn w:val="688"/>
    <w:link w:val="697"/>
    <w:rPr>
      <w:sz w:val="24"/>
    </w:rPr>
  </w:style>
  <w:style w:type="paragraph" w:styleId="699">
    <w:name w:val="toc 4"/>
    <w:basedOn w:val="687"/>
    <w:next w:val="687"/>
    <w:link w:val="700"/>
    <w:uiPriority w:val="39"/>
    <w:pPr>
      <w:ind w:left="850"/>
      <w:spacing w:after="57"/>
      <w:widowControl/>
    </w:pPr>
  </w:style>
  <w:style w:type="character" w:styleId="700">
    <w:name w:val="toc 4"/>
    <w:basedOn w:val="688"/>
    <w:link w:val="699"/>
  </w:style>
  <w:style w:type="paragraph" w:styleId="701">
    <w:name w:val="Заголовок 91"/>
    <w:basedOn w:val="687"/>
    <w:next w:val="687"/>
    <w:link w:val="702"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02">
    <w:name w:val="Заголовок 91"/>
    <w:basedOn w:val="688"/>
    <w:link w:val="701"/>
    <w:rPr>
      <w:rFonts w:ascii="Arial" w:hAnsi="Arial"/>
      <w:i/>
      <w:sz w:val="21"/>
    </w:rPr>
  </w:style>
  <w:style w:type="paragraph" w:styleId="703">
    <w:name w:val="Heading 7"/>
    <w:basedOn w:val="687"/>
    <w:next w:val="687"/>
    <w:link w:val="70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4">
    <w:name w:val="Heading 7"/>
    <w:basedOn w:val="688"/>
    <w:link w:val="703"/>
    <w:rPr>
      <w:rFonts w:ascii="Arial" w:hAnsi="Arial"/>
      <w:b/>
      <w:i/>
      <w:sz w:val="22"/>
    </w:rPr>
  </w:style>
  <w:style w:type="paragraph" w:styleId="705">
    <w:name w:val="toc 6"/>
    <w:basedOn w:val="687"/>
    <w:next w:val="687"/>
    <w:link w:val="706"/>
    <w:uiPriority w:val="39"/>
    <w:pPr>
      <w:ind w:left="1417"/>
      <w:spacing w:after="57"/>
      <w:widowControl/>
    </w:pPr>
  </w:style>
  <w:style w:type="character" w:styleId="706">
    <w:name w:val="toc 6"/>
    <w:basedOn w:val="688"/>
    <w:link w:val="705"/>
  </w:style>
  <w:style w:type="paragraph" w:styleId="707">
    <w:name w:val="toc 7"/>
    <w:basedOn w:val="687"/>
    <w:next w:val="687"/>
    <w:link w:val="708"/>
    <w:uiPriority w:val="39"/>
    <w:pPr>
      <w:ind w:left="1701"/>
      <w:spacing w:after="57"/>
      <w:widowControl/>
    </w:pPr>
  </w:style>
  <w:style w:type="character" w:styleId="708">
    <w:name w:val="toc 7"/>
    <w:basedOn w:val="688"/>
    <w:link w:val="707"/>
  </w:style>
  <w:style w:type="paragraph" w:styleId="709">
    <w:name w:val="Quote Char"/>
    <w:link w:val="710"/>
    <w:rPr>
      <w:i/>
    </w:rPr>
  </w:style>
  <w:style w:type="character" w:styleId="710">
    <w:name w:val="Quote Char"/>
    <w:link w:val="709"/>
    <w:rPr>
      <w:i/>
    </w:rPr>
  </w:style>
  <w:style w:type="paragraph" w:styleId="711">
    <w:name w:val="Заголовок 51"/>
    <w:basedOn w:val="687"/>
    <w:next w:val="687"/>
    <w:link w:val="712"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12">
    <w:name w:val="Заголовок 51"/>
    <w:basedOn w:val="688"/>
    <w:link w:val="711"/>
    <w:rPr>
      <w:rFonts w:ascii="Arial" w:hAnsi="Arial"/>
      <w:b/>
      <w:sz w:val="24"/>
    </w:rPr>
  </w:style>
  <w:style w:type="paragraph" w:styleId="713">
    <w:name w:val="Endnote"/>
    <w:basedOn w:val="687"/>
    <w:link w:val="714"/>
  </w:style>
  <w:style w:type="character" w:styleId="714">
    <w:name w:val="Endnote"/>
    <w:basedOn w:val="688"/>
    <w:link w:val="713"/>
  </w:style>
  <w:style w:type="paragraph" w:styleId="715">
    <w:name w:val="Heading 3"/>
    <w:basedOn w:val="687"/>
    <w:next w:val="687"/>
    <w:link w:val="716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6">
    <w:name w:val="Heading 3"/>
    <w:basedOn w:val="688"/>
    <w:link w:val="715"/>
    <w:rPr>
      <w:rFonts w:ascii="Arial" w:hAnsi="Arial"/>
      <w:sz w:val="30"/>
    </w:rPr>
  </w:style>
  <w:style w:type="paragraph" w:styleId="717">
    <w:name w:val="Верхний колонтитул1"/>
    <w:basedOn w:val="687"/>
    <w:link w:val="718"/>
    <w:pPr>
      <w:widowControl/>
      <w:tabs>
        <w:tab w:val="center" w:pos="7143" w:leader="none"/>
        <w:tab w:val="right" w:pos="14287" w:leader="none"/>
      </w:tabs>
    </w:pPr>
  </w:style>
  <w:style w:type="character" w:styleId="718">
    <w:name w:val="Верхний колонтитул1"/>
    <w:basedOn w:val="688"/>
    <w:link w:val="717"/>
  </w:style>
  <w:style w:type="paragraph" w:styleId="719">
    <w:name w:val="Heading 9"/>
    <w:basedOn w:val="687"/>
    <w:next w:val="687"/>
    <w:link w:val="720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0">
    <w:name w:val="Heading 9"/>
    <w:basedOn w:val="688"/>
    <w:link w:val="719"/>
    <w:rPr>
      <w:rFonts w:ascii="Arial" w:hAnsi="Arial"/>
      <w:i/>
      <w:sz w:val="21"/>
    </w:rPr>
  </w:style>
  <w:style w:type="paragraph" w:styleId="721">
    <w:name w:val="Header"/>
    <w:basedOn w:val="687"/>
    <w:link w:val="722"/>
    <w:pPr>
      <w:widowControl/>
      <w:tabs>
        <w:tab w:val="center" w:pos="4677" w:leader="none"/>
        <w:tab w:val="right" w:pos="9355" w:leader="none"/>
      </w:tabs>
    </w:pPr>
  </w:style>
  <w:style w:type="character" w:styleId="722">
    <w:name w:val="Header"/>
    <w:basedOn w:val="688"/>
    <w:link w:val="721"/>
  </w:style>
  <w:style w:type="paragraph" w:styleId="723">
    <w:name w:val="Subtitle Char"/>
    <w:basedOn w:val="781"/>
    <w:link w:val="724"/>
    <w:rPr>
      <w:sz w:val="24"/>
    </w:rPr>
  </w:style>
  <w:style w:type="character" w:styleId="724">
    <w:name w:val="Subtitle Char"/>
    <w:basedOn w:val="782"/>
    <w:link w:val="723"/>
    <w:rPr>
      <w:sz w:val="24"/>
    </w:rPr>
  </w:style>
  <w:style w:type="paragraph" w:styleId="725">
    <w:name w:val="Intense Quote"/>
    <w:basedOn w:val="687"/>
    <w:next w:val="687"/>
    <w:link w:val="726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"/>
    <w:basedOn w:val="688"/>
    <w:link w:val="725"/>
    <w:rPr>
      <w:i/>
    </w:rPr>
  </w:style>
  <w:style w:type="paragraph" w:styleId="727">
    <w:name w:val="Caption"/>
    <w:basedOn w:val="687"/>
    <w:next w:val="687"/>
    <w:link w:val="728"/>
    <w:pPr>
      <w:spacing w:line="276" w:lineRule="auto"/>
      <w:widowControl/>
    </w:pPr>
    <w:rPr>
      <w:b/>
      <w:color w:val="5b9bd5" w:themeColor="accent1"/>
      <w:sz w:val="18"/>
    </w:rPr>
  </w:style>
  <w:style w:type="character" w:styleId="728">
    <w:name w:val="Caption"/>
    <w:basedOn w:val="688"/>
    <w:link w:val="727"/>
    <w:rPr>
      <w:b/>
      <w:color w:val="5b9bd5" w:themeColor="accent1"/>
      <w:sz w:val="18"/>
    </w:rPr>
  </w:style>
  <w:style w:type="paragraph" w:styleId="729">
    <w:name w:val="Footnote Text Char"/>
    <w:link w:val="730"/>
    <w:rPr>
      <w:sz w:val="18"/>
    </w:rPr>
  </w:style>
  <w:style w:type="character" w:styleId="730">
    <w:name w:val="Footnote Text Char"/>
    <w:link w:val="729"/>
    <w:rPr>
      <w:sz w:val="18"/>
    </w:rPr>
  </w:style>
  <w:style w:type="paragraph" w:styleId="731">
    <w:name w:val="toc 3"/>
    <w:basedOn w:val="687"/>
    <w:next w:val="687"/>
    <w:link w:val="732"/>
    <w:uiPriority w:val="39"/>
    <w:pPr>
      <w:ind w:left="567"/>
      <w:spacing w:after="57"/>
      <w:widowControl/>
    </w:pPr>
  </w:style>
  <w:style w:type="character" w:styleId="732">
    <w:name w:val="toc 3"/>
    <w:basedOn w:val="688"/>
    <w:link w:val="731"/>
  </w:style>
  <w:style w:type="paragraph" w:styleId="733">
    <w:name w:val="Footer"/>
    <w:basedOn w:val="687"/>
    <w:link w:val="734"/>
    <w:pPr>
      <w:widowControl/>
      <w:tabs>
        <w:tab w:val="center" w:pos="4677" w:leader="none"/>
        <w:tab w:val="right" w:pos="9355" w:leader="none"/>
      </w:tabs>
    </w:pPr>
  </w:style>
  <w:style w:type="character" w:styleId="734">
    <w:name w:val="Footer"/>
    <w:basedOn w:val="688"/>
    <w:link w:val="733"/>
  </w:style>
  <w:style w:type="paragraph" w:styleId="735">
    <w:name w:val="Body Text"/>
    <w:basedOn w:val="687"/>
    <w:link w:val="736"/>
    <w:pPr>
      <w:jc w:val="both"/>
      <w:widowControl/>
    </w:pPr>
    <w:rPr>
      <w:sz w:val="28"/>
    </w:rPr>
  </w:style>
  <w:style w:type="character" w:styleId="736">
    <w:name w:val="Body Text"/>
    <w:basedOn w:val="688"/>
    <w:link w:val="735"/>
    <w:rPr>
      <w:sz w:val="28"/>
    </w:rPr>
  </w:style>
  <w:style w:type="paragraph" w:styleId="737">
    <w:name w:val="Название объекта11"/>
    <w:basedOn w:val="687"/>
    <w:link w:val="738"/>
    <w:pPr>
      <w:contextualSpacing w:val="0"/>
      <w:ind w:left="0" w:right="0" w:firstLine="0"/>
      <w:jc w:val="center"/>
      <w:keepLines w:val="0"/>
      <w:keepNext w:val="0"/>
      <w:pageBreakBefore w:val="0"/>
      <w:spacing w:before="0" w:after="0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character" w:styleId="738">
    <w:name w:val="Название объекта11"/>
    <w:basedOn w:val="688"/>
    <w:link w:val="737"/>
    <w:rPr>
      <w:rFonts w:ascii="Times New Roman" w:hAnsi="Times New Roman"/>
      <w:b/>
      <w:i w:val="0"/>
      <w:caps w:val="0"/>
      <w:smallCaps w:val="0"/>
      <w:strike w:val="0"/>
      <w:color w:val="000000"/>
      <w:spacing w:val="0"/>
      <w:sz w:val="32"/>
      <w:u w:val="none"/>
    </w:rPr>
  </w:style>
  <w:style w:type="paragraph" w:styleId="739">
    <w:name w:val="Заголовок 31"/>
    <w:basedOn w:val="687"/>
    <w:next w:val="687"/>
    <w:link w:val="740"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40">
    <w:name w:val="Заголовок 31"/>
    <w:basedOn w:val="688"/>
    <w:link w:val="739"/>
    <w:rPr>
      <w:rFonts w:ascii="Arial" w:hAnsi="Arial"/>
      <w:sz w:val="30"/>
    </w:rPr>
  </w:style>
  <w:style w:type="paragraph" w:styleId="741">
    <w:name w:val="Heading 5"/>
    <w:basedOn w:val="687"/>
    <w:next w:val="687"/>
    <w:link w:val="742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  <w:sz w:val="24"/>
    </w:rPr>
  </w:style>
  <w:style w:type="character" w:styleId="742">
    <w:name w:val="Heading 5"/>
    <w:basedOn w:val="688"/>
    <w:link w:val="741"/>
    <w:rPr>
      <w:rFonts w:ascii="Arial" w:hAnsi="Arial"/>
      <w:b/>
      <w:sz w:val="24"/>
    </w:rPr>
  </w:style>
  <w:style w:type="paragraph" w:styleId="743">
    <w:name w:val="Header"/>
    <w:basedOn w:val="687"/>
    <w:link w:val="744"/>
    <w:pPr>
      <w:widowControl/>
      <w:tabs>
        <w:tab w:val="center" w:pos="7143" w:leader="none"/>
        <w:tab w:val="right" w:pos="14287" w:leader="none"/>
      </w:tabs>
    </w:pPr>
  </w:style>
  <w:style w:type="character" w:styleId="744">
    <w:name w:val="Header"/>
    <w:basedOn w:val="688"/>
    <w:link w:val="743"/>
  </w:style>
  <w:style w:type="paragraph" w:styleId="745">
    <w:name w:val="Endnote Text Char"/>
    <w:link w:val="746"/>
    <w:rPr>
      <w:sz w:val="20"/>
    </w:rPr>
  </w:style>
  <w:style w:type="character" w:styleId="746">
    <w:name w:val="Endnote Text Char"/>
    <w:link w:val="745"/>
    <w:rPr>
      <w:sz w:val="20"/>
    </w:rPr>
  </w:style>
  <w:style w:type="paragraph" w:styleId="747">
    <w:name w:val="ConsPlusNormal"/>
    <w:link w:val="748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48">
    <w:name w:val="ConsPlusNormal"/>
    <w:link w:val="747"/>
    <w:rPr>
      <w:rFonts w:ascii="Arial" w:hAnsi="Arial"/>
      <w:sz w:val="20"/>
    </w:rPr>
  </w:style>
  <w:style w:type="paragraph" w:styleId="749">
    <w:name w:val="Heading 1"/>
    <w:basedOn w:val="687"/>
    <w:next w:val="687"/>
    <w:link w:val="750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50">
    <w:name w:val="Heading 1"/>
    <w:basedOn w:val="688"/>
    <w:link w:val="749"/>
    <w:rPr>
      <w:rFonts w:ascii="Arial" w:hAnsi="Arial"/>
      <w:sz w:val="40"/>
    </w:rPr>
  </w:style>
  <w:style w:type="paragraph" w:styleId="751">
    <w:name w:val="footnote reference"/>
    <w:basedOn w:val="781"/>
    <w:link w:val="752"/>
    <w:rPr>
      <w:vertAlign w:val="superscript"/>
    </w:rPr>
  </w:style>
  <w:style w:type="character" w:styleId="752">
    <w:name w:val="footnote reference"/>
    <w:basedOn w:val="782"/>
    <w:link w:val="751"/>
    <w:rPr>
      <w:vertAlign w:val="superscript"/>
    </w:rPr>
  </w:style>
  <w:style w:type="paragraph" w:styleId="753">
    <w:name w:val="Hyperlink"/>
    <w:link w:val="754"/>
    <w:rPr>
      <w:color w:val="0563c1" w:themeColor="hyperlink"/>
      <w:u w:val="single"/>
    </w:rPr>
  </w:style>
  <w:style w:type="character" w:styleId="754">
    <w:name w:val="Hyperlink"/>
    <w:link w:val="753"/>
    <w:rPr>
      <w:color w:val="0563c1" w:themeColor="hyperlink"/>
      <w:u w:val="single"/>
    </w:rPr>
  </w:style>
  <w:style w:type="paragraph" w:styleId="755">
    <w:name w:val="Footnote"/>
    <w:basedOn w:val="687"/>
    <w:link w:val="756"/>
    <w:pPr>
      <w:spacing w:after="40"/>
      <w:widowControl/>
    </w:pPr>
    <w:rPr>
      <w:sz w:val="18"/>
    </w:rPr>
  </w:style>
  <w:style w:type="character" w:styleId="756">
    <w:name w:val="Footnote"/>
    <w:basedOn w:val="688"/>
    <w:link w:val="755"/>
    <w:rPr>
      <w:sz w:val="18"/>
    </w:rPr>
  </w:style>
  <w:style w:type="paragraph" w:styleId="757">
    <w:name w:val="Heading 8"/>
    <w:basedOn w:val="687"/>
    <w:next w:val="687"/>
    <w:link w:val="75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58">
    <w:name w:val="Heading 8"/>
    <w:basedOn w:val="688"/>
    <w:link w:val="757"/>
    <w:rPr>
      <w:rFonts w:ascii="Arial" w:hAnsi="Arial"/>
      <w:i/>
      <w:sz w:val="22"/>
    </w:rPr>
  </w:style>
  <w:style w:type="paragraph" w:styleId="759">
    <w:name w:val="Заголовок 71"/>
    <w:basedOn w:val="687"/>
    <w:next w:val="687"/>
    <w:link w:val="760"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60">
    <w:name w:val="Заголовок 71"/>
    <w:basedOn w:val="688"/>
    <w:link w:val="759"/>
    <w:rPr>
      <w:rFonts w:ascii="Arial" w:hAnsi="Arial"/>
      <w:b/>
      <w:i/>
      <w:sz w:val="22"/>
    </w:rPr>
  </w:style>
  <w:style w:type="paragraph" w:styleId="761">
    <w:name w:val="Заголовок 41"/>
    <w:basedOn w:val="687"/>
    <w:next w:val="687"/>
    <w:link w:val="762"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62">
    <w:name w:val="Заголовок 41"/>
    <w:basedOn w:val="688"/>
    <w:link w:val="761"/>
    <w:rPr>
      <w:rFonts w:ascii="Arial" w:hAnsi="Arial"/>
      <w:b/>
      <w:sz w:val="26"/>
    </w:rPr>
  </w:style>
  <w:style w:type="paragraph" w:styleId="763">
    <w:name w:val="toc 1"/>
    <w:basedOn w:val="687"/>
    <w:next w:val="687"/>
    <w:link w:val="764"/>
    <w:uiPriority w:val="39"/>
    <w:pPr>
      <w:spacing w:after="57"/>
      <w:widowControl/>
    </w:pPr>
  </w:style>
  <w:style w:type="character" w:styleId="764">
    <w:name w:val="toc 1"/>
    <w:basedOn w:val="688"/>
    <w:link w:val="763"/>
  </w:style>
  <w:style w:type="paragraph" w:styleId="765">
    <w:name w:val="Header and Footer"/>
    <w:link w:val="766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66">
    <w:name w:val="Header and Footer"/>
    <w:link w:val="765"/>
    <w:rPr>
      <w:rFonts w:ascii="XO Thames" w:hAnsi="XO Thames"/>
      <w:sz w:val="28"/>
    </w:rPr>
  </w:style>
  <w:style w:type="paragraph" w:styleId="767">
    <w:name w:val="endnote reference"/>
    <w:basedOn w:val="781"/>
    <w:link w:val="768"/>
    <w:rPr>
      <w:vertAlign w:val="superscript"/>
    </w:rPr>
  </w:style>
  <w:style w:type="character" w:styleId="768">
    <w:name w:val="endnote reference"/>
    <w:basedOn w:val="782"/>
    <w:link w:val="767"/>
    <w:rPr>
      <w:vertAlign w:val="superscript"/>
    </w:rPr>
  </w:style>
  <w:style w:type="paragraph" w:styleId="769">
    <w:name w:val="Заголовок 11"/>
    <w:basedOn w:val="687"/>
    <w:next w:val="687"/>
    <w:link w:val="770"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70">
    <w:name w:val="Заголовок 11"/>
    <w:basedOn w:val="688"/>
    <w:link w:val="769"/>
    <w:rPr>
      <w:rFonts w:ascii="Arial" w:hAnsi="Arial"/>
      <w:sz w:val="40"/>
    </w:rPr>
  </w:style>
  <w:style w:type="paragraph" w:styleId="771">
    <w:name w:val="docdata"/>
    <w:link w:val="772"/>
    <w:pPr>
      <w:spacing w:beforeAutospacing="1" w:afterAutospacing="1" w:line="240" w:lineRule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/>
      <w:sz w:val="24"/>
    </w:rPr>
  </w:style>
  <w:style w:type="character" w:styleId="772">
    <w:name w:val="docdata"/>
    <w:link w:val="771"/>
    <w:rPr>
      <w:rFonts w:ascii="Times New Roman" w:hAnsi="Times New Roman"/>
      <w:sz w:val="24"/>
    </w:rPr>
  </w:style>
  <w:style w:type="paragraph" w:styleId="773">
    <w:name w:val="Balloon Text"/>
    <w:basedOn w:val="687"/>
    <w:link w:val="774"/>
    <w:rPr>
      <w:rFonts w:ascii="Segoe UI" w:hAnsi="Segoe UI"/>
      <w:sz w:val="18"/>
    </w:rPr>
  </w:style>
  <w:style w:type="character" w:styleId="774">
    <w:name w:val="Balloon Text"/>
    <w:basedOn w:val="688"/>
    <w:link w:val="773"/>
    <w:rPr>
      <w:rFonts w:ascii="Segoe UI" w:hAnsi="Segoe UI"/>
      <w:sz w:val="18"/>
    </w:rPr>
  </w:style>
  <w:style w:type="paragraph" w:styleId="775">
    <w:name w:val="Intense Quote Char"/>
    <w:link w:val="776"/>
    <w:rPr>
      <w:i/>
    </w:rPr>
  </w:style>
  <w:style w:type="character" w:styleId="776">
    <w:name w:val="Intense Quote Char"/>
    <w:link w:val="775"/>
    <w:rPr>
      <w:i/>
    </w:rPr>
  </w:style>
  <w:style w:type="paragraph" w:styleId="777">
    <w:name w:val="toc 9"/>
    <w:basedOn w:val="687"/>
    <w:next w:val="687"/>
    <w:link w:val="778"/>
    <w:uiPriority w:val="39"/>
    <w:pPr>
      <w:ind w:left="2268"/>
      <w:spacing w:after="57"/>
      <w:widowControl/>
    </w:pPr>
  </w:style>
  <w:style w:type="character" w:styleId="778">
    <w:name w:val="toc 9"/>
    <w:basedOn w:val="688"/>
    <w:link w:val="777"/>
  </w:style>
  <w:style w:type="paragraph" w:styleId="779">
    <w:name w:val="List Paragraph"/>
    <w:basedOn w:val="687"/>
    <w:link w:val="780"/>
    <w:pPr>
      <w:contextualSpacing/>
      <w:ind w:left="720"/>
      <w:widowControl/>
    </w:pPr>
    <w:rPr>
      <w:sz w:val="28"/>
    </w:rPr>
  </w:style>
  <w:style w:type="character" w:styleId="780">
    <w:name w:val="List Paragraph"/>
    <w:basedOn w:val="688"/>
    <w:link w:val="779"/>
    <w:rPr>
      <w:sz w:val="28"/>
    </w:rPr>
  </w:style>
  <w:style w:type="paragraph" w:styleId="781">
    <w:name w:val="Default Paragraph Font"/>
    <w:link w:val="782"/>
  </w:style>
  <w:style w:type="character" w:styleId="782">
    <w:name w:val="Default Paragraph Font"/>
    <w:link w:val="781"/>
  </w:style>
  <w:style w:type="paragraph" w:styleId="783">
    <w:name w:val="ConsNormal"/>
    <w:link w:val="784"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/>
      <w:sz w:val="20"/>
    </w:rPr>
  </w:style>
  <w:style w:type="character" w:styleId="784">
    <w:name w:val="ConsNormal"/>
    <w:link w:val="783"/>
    <w:rPr>
      <w:rFonts w:ascii="Arial" w:hAnsi="Arial"/>
      <w:sz w:val="20"/>
    </w:rPr>
  </w:style>
  <w:style w:type="paragraph" w:styleId="785">
    <w:name w:val="toc 8"/>
    <w:basedOn w:val="687"/>
    <w:next w:val="687"/>
    <w:link w:val="786"/>
    <w:uiPriority w:val="39"/>
    <w:pPr>
      <w:ind w:left="1984"/>
      <w:spacing w:after="57"/>
      <w:widowControl/>
    </w:pPr>
  </w:style>
  <w:style w:type="character" w:styleId="786">
    <w:name w:val="toc 8"/>
    <w:basedOn w:val="688"/>
    <w:link w:val="785"/>
  </w:style>
  <w:style w:type="paragraph" w:styleId="787">
    <w:name w:val="Quote"/>
    <w:basedOn w:val="687"/>
    <w:next w:val="687"/>
    <w:link w:val="788"/>
    <w:pPr>
      <w:ind w:left="720" w:right="720"/>
      <w:widowControl/>
    </w:pPr>
    <w:rPr>
      <w:i/>
    </w:rPr>
  </w:style>
  <w:style w:type="character" w:styleId="788">
    <w:name w:val="Quote"/>
    <w:basedOn w:val="688"/>
    <w:link w:val="787"/>
    <w:rPr>
      <w:i/>
    </w:rPr>
  </w:style>
  <w:style w:type="paragraph" w:styleId="789">
    <w:name w:val="Название объекта1"/>
    <w:basedOn w:val="687"/>
    <w:next w:val="687"/>
    <w:link w:val="790"/>
    <w:pPr>
      <w:spacing w:line="276" w:lineRule="auto"/>
      <w:widowControl/>
    </w:pPr>
    <w:rPr>
      <w:b/>
      <w:color w:val="5b9bd5" w:themeColor="accent1"/>
      <w:sz w:val="18"/>
    </w:rPr>
  </w:style>
  <w:style w:type="character" w:styleId="790">
    <w:name w:val="Название объекта1"/>
    <w:basedOn w:val="688"/>
    <w:link w:val="789"/>
    <w:rPr>
      <w:b/>
      <w:color w:val="5b9bd5" w:themeColor="accent1"/>
      <w:sz w:val="18"/>
    </w:rPr>
  </w:style>
  <w:style w:type="paragraph" w:styleId="791">
    <w:name w:val="toc 5"/>
    <w:basedOn w:val="687"/>
    <w:next w:val="687"/>
    <w:link w:val="792"/>
    <w:uiPriority w:val="39"/>
    <w:pPr>
      <w:ind w:left="1134"/>
      <w:spacing w:after="57"/>
      <w:widowControl/>
    </w:pPr>
  </w:style>
  <w:style w:type="character" w:styleId="792">
    <w:name w:val="toc 5"/>
    <w:basedOn w:val="688"/>
    <w:link w:val="791"/>
  </w:style>
  <w:style w:type="paragraph" w:styleId="793">
    <w:name w:val="Заголовок 21"/>
    <w:basedOn w:val="687"/>
    <w:next w:val="687"/>
    <w:link w:val="794"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94">
    <w:name w:val="Заголовок 21"/>
    <w:basedOn w:val="688"/>
    <w:link w:val="793"/>
    <w:rPr>
      <w:rFonts w:ascii="Arial" w:hAnsi="Arial"/>
      <w:sz w:val="34"/>
    </w:rPr>
  </w:style>
  <w:style w:type="paragraph" w:styleId="795">
    <w:name w:val="Заголовок 61"/>
    <w:basedOn w:val="687"/>
    <w:next w:val="687"/>
    <w:link w:val="796"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96">
    <w:name w:val="Заголовок 61"/>
    <w:basedOn w:val="688"/>
    <w:link w:val="795"/>
    <w:rPr>
      <w:rFonts w:ascii="Arial" w:hAnsi="Arial"/>
      <w:b/>
      <w:sz w:val="22"/>
    </w:rPr>
  </w:style>
  <w:style w:type="paragraph" w:styleId="797">
    <w:name w:val="Заголовок 81"/>
    <w:basedOn w:val="687"/>
    <w:next w:val="687"/>
    <w:link w:val="798"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98">
    <w:name w:val="Заголовок 81"/>
    <w:basedOn w:val="688"/>
    <w:link w:val="797"/>
    <w:rPr>
      <w:rFonts w:ascii="Arial" w:hAnsi="Arial"/>
      <w:i/>
      <w:sz w:val="22"/>
    </w:rPr>
  </w:style>
  <w:style w:type="paragraph" w:styleId="799">
    <w:name w:val="Subtitle"/>
    <w:basedOn w:val="687"/>
    <w:next w:val="687"/>
    <w:link w:val="800"/>
    <w:uiPriority w:val="11"/>
    <w:qFormat/>
    <w:pPr>
      <w:spacing w:before="200" w:after="200"/>
      <w:widowControl/>
    </w:pPr>
    <w:rPr>
      <w:sz w:val="24"/>
    </w:rPr>
  </w:style>
  <w:style w:type="character" w:styleId="800">
    <w:name w:val="Subtitle"/>
    <w:basedOn w:val="688"/>
    <w:link w:val="799"/>
    <w:rPr>
      <w:sz w:val="24"/>
    </w:rPr>
  </w:style>
  <w:style w:type="paragraph" w:styleId="801">
    <w:name w:val="Нижний колонтитул1"/>
    <w:basedOn w:val="687"/>
    <w:link w:val="802"/>
    <w:pPr>
      <w:widowControl/>
      <w:tabs>
        <w:tab w:val="center" w:pos="7143" w:leader="none"/>
        <w:tab w:val="right" w:pos="14287" w:leader="none"/>
      </w:tabs>
    </w:pPr>
  </w:style>
  <w:style w:type="character" w:styleId="802">
    <w:name w:val="Нижний колонтитул1"/>
    <w:basedOn w:val="688"/>
    <w:link w:val="801"/>
  </w:style>
  <w:style w:type="paragraph" w:styleId="803">
    <w:name w:val="Title"/>
    <w:basedOn w:val="687"/>
    <w:next w:val="687"/>
    <w:link w:val="804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04">
    <w:name w:val="Title"/>
    <w:basedOn w:val="688"/>
    <w:link w:val="803"/>
    <w:rPr>
      <w:sz w:val="48"/>
    </w:rPr>
  </w:style>
  <w:style w:type="paragraph" w:styleId="805">
    <w:name w:val="Heading 4"/>
    <w:basedOn w:val="687"/>
    <w:next w:val="687"/>
    <w:link w:val="806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06">
    <w:name w:val="Heading 4"/>
    <w:basedOn w:val="688"/>
    <w:link w:val="805"/>
    <w:rPr>
      <w:rFonts w:ascii="Arial" w:hAnsi="Arial"/>
      <w:b/>
      <w:sz w:val="26"/>
    </w:rPr>
  </w:style>
  <w:style w:type="paragraph" w:styleId="807">
    <w:name w:val="TOC Heading"/>
    <w:link w:val="808"/>
  </w:style>
  <w:style w:type="character" w:styleId="808">
    <w:name w:val="TOC Heading"/>
    <w:link w:val="807"/>
  </w:style>
  <w:style w:type="paragraph" w:styleId="809">
    <w:name w:val="Heading 2"/>
    <w:basedOn w:val="687"/>
    <w:next w:val="687"/>
    <w:link w:val="81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10">
    <w:name w:val="Heading 2"/>
    <w:basedOn w:val="688"/>
    <w:link w:val="809"/>
    <w:rPr>
      <w:rFonts w:ascii="Arial" w:hAnsi="Arial"/>
      <w:sz w:val="34"/>
    </w:rPr>
  </w:style>
  <w:style w:type="paragraph" w:styleId="811">
    <w:name w:val="Footer"/>
    <w:basedOn w:val="687"/>
    <w:link w:val="812"/>
    <w:pPr>
      <w:widowControl/>
      <w:tabs>
        <w:tab w:val="center" w:pos="7143" w:leader="none"/>
        <w:tab w:val="right" w:pos="14287" w:leader="none"/>
      </w:tabs>
    </w:pPr>
  </w:style>
  <w:style w:type="character" w:styleId="812">
    <w:name w:val="Footer"/>
    <w:basedOn w:val="688"/>
    <w:link w:val="811"/>
  </w:style>
  <w:style w:type="paragraph" w:styleId="813">
    <w:name w:val="Heading 6"/>
    <w:basedOn w:val="687"/>
    <w:next w:val="687"/>
    <w:link w:val="814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14">
    <w:name w:val="Heading 6"/>
    <w:basedOn w:val="688"/>
    <w:link w:val="813"/>
    <w:rPr>
      <w:rFonts w:ascii="Arial" w:hAnsi="Arial"/>
      <w:b/>
      <w:sz w:val="22"/>
    </w:rPr>
  </w:style>
  <w:style w:type="paragraph" w:styleId="815">
    <w:name w:val="Footer Char"/>
    <w:basedOn w:val="781"/>
    <w:link w:val="816"/>
  </w:style>
  <w:style w:type="character" w:styleId="816">
    <w:name w:val="Footer Char"/>
    <w:basedOn w:val="782"/>
    <w:link w:val="815"/>
  </w:style>
  <w:style w:type="table" w:styleId="817">
    <w:name w:val="List Table 6 Colorful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Table Grid"/>
    <w:basedOn w:val="900"/>
    <w:pPr>
      <w:spacing w:after="0" w:line="240" w:lineRule="auto"/>
      <w:widowControl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Grid Table 3 - Accent 5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Grid Table 2 - Accent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>
    <w:name w:val="List Table 1 Light - Accent 2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Таблица простая 5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List Table 1 Light - Accent 3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Bordered &amp; Lined - Accent 6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5">
    <w:name w:val="Grid Table 2 - Accent 5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Список-таблица 2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Таблица-сетка 1 светл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Grid Table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Grid Table 1 Light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Bordered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Grid Table 7 Colorful - Accent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2">
    <w:name w:val="Grid Table 2 - Accent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Grid Table 6 Colorful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Bordered &amp; Lined - Accent 4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5">
    <w:name w:val="Таблица-сетка 3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6">
    <w:name w:val="List Table 7 Colorful - Accent 4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List Table 5 Dark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Grid Table 7 Colorful - Accent 5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9">
    <w:name w:val="Grid Table 1 Light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0">
    <w:name w:val="Bordered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Таблица-сетка 4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2">
    <w:name w:val="Grid Table 5 Dark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Grid Table 1 Light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4">
    <w:name w:val="List Table 4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List Table 6 Colorful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6">
    <w:name w:val="Grid Table 7 Colorful - Accent 6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>
    <w:name w:val="Lined - Accent 3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Таблица простая 3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9">
    <w:name w:val="Plain Table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0">
    <w:name w:val="List Table 2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List Table 2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Grid Table 3 - Accent 3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Bordered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Grid Table 5 Dark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5">
    <w:name w:val="Grid Table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6">
    <w:name w:val="Grid Table 4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7">
    <w:name w:val="List Table 3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>
    <w:name w:val="Список-таблица 5 тем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9">
    <w:name w:val="Grid Table 5 Dark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0">
    <w:name w:val="Lined - Accent 4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1">
    <w:name w:val="Grid Table 6 Colorful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2">
    <w:name w:val="Grid Table 4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Grid Table 7 Colorful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Список-таблица 1 светлая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5">
    <w:name w:val="Bordered &amp; Lined - Accent 2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6">
    <w:name w:val="Bordered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7">
    <w:name w:val="Grid Table 2 - Accent 6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8">
    <w:name w:val="List Table 5 Dark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>
    <w:name w:val="List Table 7 Colorful - Accent 2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0">
    <w:name w:val="Grid Table 6 Colorful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Grid Table 4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Grid Table 7 Colorful - Accent 4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Список-таблица 3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Grid Table 3 - Accent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Grid Table 7 Colorful - Accent 2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Bordered &amp; Lined - Accent 3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7">
    <w:name w:val="List Table 7 Colorful - Accent 6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>
    <w:name w:val="Grid Table 6 Colorful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List Table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0">
    <w:name w:val="Grid Table 3 - Accent 4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1">
    <w:name w:val="Таблица-сетка 5 тем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2">
    <w:name w:val="Bordered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Grid Table 7 Colorful - Accent 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Grid Table 5 Dark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5">
    <w:name w:val="List Table 6 Colorful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Lined - Accent 5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Bordered &amp; Lined - Accent 5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8">
    <w:name w:val="List Table 2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>
    <w:name w:val="Grid Table 2 - Accent 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>
    <w:name w:val="List Table 5 Dark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st Table 1 Light - Accent 5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2">
    <w:name w:val="Grid Table 6 Colorful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List Table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Grid Table 6 Colorful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5">
    <w:name w:val="Grid Table 4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6">
    <w:name w:val="Grid Table 6 Colorful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List Table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List Table 4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9">
    <w:name w:val="Grid Table 4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0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1">
    <w:name w:val="List Table 4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Lined - Accent 2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3">
    <w:name w:val="Bordered &amp; Lined - Accent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4">
    <w:name w:val="Таблица-сетка 6 цвет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5">
    <w:name w:val="Bordered &amp; Lined - Accent 1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6">
    <w:name w:val="List Table 7 Colorful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7">
    <w:name w:val="List Table 1 Light - Accent 4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08">
    <w:name w:val="List Table 2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9">
    <w:name w:val="Lined - Accent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Список-таблица 6 цветная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1">
    <w:name w:val="Таблица простая 2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2">
    <w:name w:val="Lined - Accent 1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3">
    <w:name w:val="List Table 3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4">
    <w:name w:val="Plain Table 3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List Table 2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6">
    <w:name w:val="Grid Table 1 Light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7">
    <w:name w:val="List Table 3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List Table 5 Dark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Lined - Accent 6"/>
    <w:basedOn w:val="900"/>
    <w:pPr>
      <w:spacing w:after="0" w:line="240" w:lineRule="auto"/>
      <w:widowControl/>
    </w:pPr>
    <w:rPr>
      <w:color w:val="404040"/>
      <w:sz w:val="2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List Table 5 Dark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1">
    <w:name w:val="List Table 5 Dark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List Table 4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3">
    <w:name w:val="Список-таблица 4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4">
    <w:name w:val="Таблица простая 1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5">
    <w:name w:val="Plain Table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6">
    <w:name w:val="List Table 5 Dark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7">
    <w:name w:val="Grid Table 1 Light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8">
    <w:name w:val="Bordered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9">
    <w:name w:val="Список-таблица 7 цветная1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0">
    <w:name w:val="Grid Table 2 - Accent 4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1">
    <w:name w:val="List Table 7 Colorful - Accent 3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2">
    <w:name w:val="List Table 7 Colorful - Accent 1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Grid Table 3 - Accent 6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4">
    <w:name w:val="Grid Table 5 Dark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5">
    <w:name w:val="List Table 3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Grid Table 1 Light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7">
    <w:name w:val="Таблица простая 4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8">
    <w:name w:val="List Table 1 Light - Accent 1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9">
    <w:name w:val="Plain Table 4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0">
    <w:name w:val="List Table 7 Colorful - Accent 5"/>
    <w:basedOn w:val="900"/>
    <w:pPr>
      <w:spacing w:after="0" w:line="240" w:lineRule="auto"/>
      <w:widowControl/>
    </w:pPr>
    <w:tblPr>
      <w:tblInd w:w="0" w:type="dxa"/>
      <w:tblBorders>
        <w:right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1">
    <w:name w:val="List Table 6 Colorful - Accent 5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2">
    <w:name w:val="Grid Table 1 Light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3">
    <w:name w:val="Таблица-сетка 7 цветная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4">
    <w:name w:val="List Table 6 Colorful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List Table 1 Light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46">
    <w:name w:val="List Table 6 Colorful 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7">
    <w:name w:val="Grid Table 5 Dark- Accent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8">
    <w:name w:val="List Table 6 Colorful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9">
    <w:name w:val="List Table 3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0">
    <w:name w:val="List Table 4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1">
    <w:name w:val="List Table 2 - Accent 6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2">
    <w:name w:val="List Table 1 Light - Accent 6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3">
    <w:name w:val="Таблица-сетка 2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4">
    <w:name w:val="List Table 3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5">
    <w:name w:val="Plain Table 5"/>
    <w:basedOn w:val="900"/>
    <w:pPr>
      <w:spacing w:after="0" w:line="240" w:lineRule="auto"/>
      <w:widowControl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Bordered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7">
    <w:name w:val="Grid Table 3 - Accent 1"/>
    <w:basedOn w:val="900"/>
    <w:pPr>
      <w:spacing w:after="0" w:line="240" w:lineRule="auto"/>
      <w:widowControl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8">
    <w:name w:val="Grid Table 4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59">
    <w:name w:val="Grid Table 5 Dark - Accent 2"/>
    <w:basedOn w:val="900"/>
    <w:pPr>
      <w:spacing w:after="0" w:line="240" w:lineRule="auto"/>
      <w:widowControl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0">
    <w:name w:val="Grid Table 4 - Accent 3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1">
    <w:name w:val="List Table 4 - Accent 1"/>
    <w:basedOn w:val="900"/>
    <w:pPr>
      <w:spacing w:after="0" w:line="240" w:lineRule="auto"/>
      <w:widowControl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2">
    <w:name w:val="Table Grid Light"/>
    <w:basedOn w:val="900"/>
    <w:pPr>
      <w:spacing w:after="0" w:line="240" w:lineRule="auto"/>
      <w:widowControl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numbering" w:styleId="96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2025-01-21T18:36:00Z</dcterms:created>
  <dcterms:modified xsi:type="dcterms:W3CDTF">2025-07-07T11:22:42Z</dcterms:modified>
</cp:coreProperties>
</file>