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2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ОБЗОР</w:t>
      </w:r>
      <w:r/>
    </w:p>
    <w:p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уголовных дел по преступлениям коррупционной направленности </w:t>
      </w:r>
      <w:r/>
    </w:p>
    <w:p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2022-</w:t>
      </w:r>
      <w:r>
        <w:rPr>
          <w:sz w:val="28"/>
          <w:szCs w:val="28"/>
        </w:rPr>
        <w:t xml:space="preserve">2023 г</w:t>
      </w:r>
      <w:r>
        <w:rPr>
          <w:sz w:val="28"/>
          <w:szCs w:val="28"/>
        </w:rPr>
        <w:t xml:space="preserve">г.</w:t>
      </w:r>
      <w:r/>
    </w:p>
    <w:p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Федеральн</w:t>
      </w:r>
      <w:r>
        <w:rPr>
          <w:bCs/>
          <w:sz w:val="28"/>
          <w:szCs w:val="28"/>
        </w:rPr>
        <w:t xml:space="preserve">ым </w:t>
      </w:r>
      <w:r>
        <w:rPr>
          <w:bCs/>
          <w:sz w:val="28"/>
          <w:szCs w:val="28"/>
        </w:rPr>
        <w:t xml:space="preserve">закон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 от 25.12.2008 № 273</w:t>
      </w: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 xml:space="preserve">ФЗ </w:t>
      </w:r>
      <w:r>
        <w:rPr>
          <w:bCs/>
          <w:sz w:val="28"/>
          <w:szCs w:val="28"/>
        </w:rPr>
        <w:t xml:space="preserve">«О противодействии коррупции», приоритетным </w:t>
      </w:r>
      <w:r>
        <w:rPr>
          <w:bCs/>
          <w:sz w:val="28"/>
          <w:szCs w:val="28"/>
        </w:rPr>
        <w:t xml:space="preserve">направлением </w:t>
      </w:r>
      <w:r>
        <w:rPr>
          <w:bCs/>
          <w:sz w:val="28"/>
          <w:szCs w:val="28"/>
        </w:rPr>
        <w:t xml:space="preserve">противодействия коррупции является профилактика</w:t>
      </w:r>
      <w:r>
        <w:rPr>
          <w:bCs/>
          <w:sz w:val="28"/>
          <w:szCs w:val="28"/>
        </w:rPr>
        <w:t xml:space="preserve">. К профилактике коррупции относится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</w:t>
      </w:r>
      <w:r>
        <w:rPr>
          <w:color w:val="000000"/>
          <w:sz w:val="28"/>
          <w:szCs w:val="28"/>
          <w:shd w:val="clear" w:color="auto" w:fill="ffffff"/>
        </w:rPr>
        <w:t xml:space="preserve">ческих лиц в пределах их полномочий по предупреждению коррупции, в том числе </w:t>
      </w:r>
      <w:r>
        <w:rPr>
          <w:color w:val="000000"/>
          <w:sz w:val="28"/>
          <w:szCs w:val="28"/>
          <w:shd w:val="clear" w:color="auto" w:fill="ffffff"/>
        </w:rPr>
        <w:t xml:space="preserve">по выявлению и последующему устранению причин коррупции.</w:t>
      </w:r>
      <w:r/>
    </w:p>
    <w:p>
      <w:pPr>
        <w:ind w:firstLine="709"/>
        <w:jc w:val="both"/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Профилактика коррупции включает в себя меры по антикоррупционному обучению, антикоррупционному просвещению, пропаганде, установлению обязанностей, требований, запретов и ограничений в целях недопущения </w:t>
      </w:r>
      <w:r>
        <w:rPr>
          <w:color w:val="000000"/>
          <w:sz w:val="28"/>
          <w:szCs w:val="28"/>
          <w:shd w:val="clear" w:color="auto" w:fill="ffffff"/>
        </w:rPr>
        <w:t xml:space="preserve">совершения лицами коррупционных прес</w:t>
      </w:r>
      <w:r>
        <w:rPr>
          <w:color w:val="000000"/>
          <w:sz w:val="28"/>
          <w:szCs w:val="28"/>
          <w:shd w:val="clear" w:color="auto" w:fill="ffffff"/>
        </w:rPr>
        <w:t xml:space="preserve">тупления и иных деяний, оказывающих негативное влияние на деятельность органов власти, органов местного самоуправления, подрывающих авторитет органов государственного управления местного самоуправления, обязательное обеспечение их исполнения и соблюдения. </w:t>
      </w:r>
      <w:r/>
    </w:p>
    <w:p>
      <w:pPr>
        <w:ind w:firstLine="709"/>
        <w:jc w:val="both"/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эффективной реализации мер по профилактике коррупционных правонарушений необходимо понимание, что профилактика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не только разъяснительная работа и деятельность по </w:t>
      </w:r>
      <w:r>
        <w:rPr>
          <w:color w:val="000000"/>
          <w:sz w:val="28"/>
          <w:szCs w:val="28"/>
          <w:shd w:val="clear" w:color="auto" w:fill="ffffff"/>
        </w:rPr>
        <w:t xml:space="preserve">пропаганде антикоррупционного поведения, но и обязательное, акцентированное, принципиальное применение мер понуждения к исполнению обязанностей, требований, запретов и ограничений, установленных в целях противодействия коррупции.</w:t>
      </w:r>
      <w:r/>
    </w:p>
    <w:p>
      <w:pPr>
        <w:ind w:firstLine="708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shd w:val="clear" w:color="auto" w:fill="ffffff"/>
        </w:rPr>
        <w:t xml:space="preserve">Не менее значимую роль в </w:t>
      </w:r>
      <w:r>
        <w:rPr>
          <w:color w:val="000000"/>
          <w:sz w:val="28"/>
          <w:szCs w:val="28"/>
          <w:shd w:val="clear" w:color="auto" w:fill="ffffff"/>
        </w:rPr>
        <w:t xml:space="preserve">противодействии коррупции играет деятельность </w:t>
      </w:r>
      <w:r>
        <w:rPr>
          <w:sz w:val="28"/>
          <w:szCs w:val="28"/>
          <w:lang w:eastAsia="zh-CN"/>
        </w:rPr>
        <w:t xml:space="preserve">по выявлению, предупреждению, пресечению, раскрытию и расследованию коррупционных правонарушений (борьба с коррупцией)</w:t>
      </w:r>
      <w:r>
        <w:rPr>
          <w:sz w:val="28"/>
          <w:szCs w:val="28"/>
          <w:lang w:eastAsia="zh-CN"/>
        </w:rPr>
        <w:t xml:space="preserve">. При этом комитет по профилактике коррупционных правонарушений Оренбургской области (далее - комитет) отмечает, что имеющееся количество коррупционных преступлений, совершенных в 2022-2023 гг. свидетельствует о недостаточности профилактической работы и как следствие, о необхо</w:t>
      </w:r>
      <w:r>
        <w:rPr>
          <w:sz w:val="28"/>
          <w:szCs w:val="28"/>
          <w:lang w:eastAsia="zh-CN"/>
        </w:rPr>
        <w:t xml:space="preserve">димости принятия дополнительных мер со стороны органов власти и органов местного самоуправления, направленных на значительное снижение фактов коррупционных преступлений, в том числе совершенных должностными лицами, работниками подведомственных учреждений. </w:t>
      </w:r>
      <w:r/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мер по профилактике коррупционных правонарушений, недопущения совершения преступлений коррупционной нап</w:t>
      </w:r>
      <w:r>
        <w:rPr>
          <w:bCs/>
          <w:sz w:val="28"/>
          <w:szCs w:val="28"/>
        </w:rPr>
        <w:t xml:space="preserve">равленности,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 соответствии с подпунктом 1 пункта 3.2 решения комиссии по координации работы по противодействию коррупции в Оренбургской области от 26.10.2021 (протокол № 36) комитетом </w:t>
      </w:r>
      <w:r>
        <w:rPr>
          <w:bCs/>
          <w:sz w:val="28"/>
          <w:szCs w:val="28"/>
        </w:rPr>
        <w:t xml:space="preserve">подготовлен обзор уголовных дел </w:t>
      </w:r>
      <w:r>
        <w:rPr>
          <w:bCs/>
          <w:sz w:val="28"/>
          <w:szCs w:val="28"/>
        </w:rPr>
        <w:t xml:space="preserve">по преступлениям коррупционной направленности, возбужденных </w:t>
      </w:r>
      <w:r>
        <w:rPr>
          <w:bCs/>
          <w:sz w:val="28"/>
          <w:szCs w:val="28"/>
        </w:rPr>
        <w:t xml:space="preserve">и расследованных правоохранительными органами </w:t>
      </w:r>
      <w:r>
        <w:rPr>
          <w:bCs/>
          <w:sz w:val="28"/>
          <w:szCs w:val="28"/>
        </w:rPr>
        <w:t xml:space="preserve">в отношении лиц, замещающих должности в органах государственной влас</w:t>
      </w:r>
      <w:r>
        <w:rPr>
          <w:bCs/>
          <w:sz w:val="28"/>
          <w:szCs w:val="28"/>
        </w:rPr>
        <w:t xml:space="preserve">ти (далее – ОГВ), органах местного самоуправления муниципальных образований Оренбургской области (далее – ОМСУ), учреждениях (организациях), функции учредителя для которых выполняют ОГВ и ОМСУ.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подготовке обзора использованы сведения, представленные сл</w:t>
      </w:r>
      <w:r>
        <w:rPr>
          <w:bCs/>
          <w:sz w:val="28"/>
          <w:szCs w:val="28"/>
        </w:rPr>
        <w:t xml:space="preserve">едственным управлением Следственного комитета Российской Федерации </w:t>
      </w:r>
      <w:r>
        <w:rPr>
          <w:bCs/>
          <w:sz w:val="28"/>
          <w:szCs w:val="28"/>
        </w:rPr>
        <w:t xml:space="preserve">по Оренбургской области, управлением МВД России по Оренбургской области, прокуратурой Оренбургской области.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2022 год лицами, замещающими государственные и муниципальные должности, должно</w:t>
      </w:r>
      <w:r>
        <w:rPr>
          <w:bCs/>
          <w:sz w:val="28"/>
          <w:szCs w:val="28"/>
        </w:rPr>
        <w:t xml:space="preserve">сти государственной гражданской и муниципальной службы, руководителями и работниками организаций, функции учредителя для которых </w:t>
      </w:r>
      <w:r>
        <w:rPr>
          <w:bCs/>
          <w:sz w:val="28"/>
          <w:szCs w:val="28"/>
        </w:rPr>
        <w:t xml:space="preserve">выполняют ОГВ и ОМСУ Оренбургской области, </w:t>
      </w:r>
      <w:r>
        <w:rPr>
          <w:bCs/>
          <w:sz w:val="28"/>
          <w:szCs w:val="28"/>
        </w:rPr>
        <w:t xml:space="preserve">совершено 39 преступлений</w:t>
      </w:r>
      <w:r>
        <w:rPr>
          <w:bCs/>
          <w:sz w:val="28"/>
          <w:szCs w:val="28"/>
        </w:rPr>
        <w:t xml:space="preserve"> коррупционной направленности. В 2023 году указанными лицам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совершено также 39 преступлений</w:t>
      </w:r>
      <w:r>
        <w:rPr>
          <w:bCs/>
          <w:sz w:val="28"/>
          <w:szCs w:val="28"/>
        </w:rPr>
        <w:t xml:space="preserve">.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Анализ информации показывает, что за отчетный 2023 год правоохранительными органами возбуждены (расследованы) уголовные дела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отношении: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лица, замещающего государственную должность Оренбургской области (министерство архитект</w:t>
      </w:r>
      <w:r>
        <w:rPr>
          <w:bCs/>
          <w:sz w:val="28"/>
          <w:szCs w:val="28"/>
        </w:rPr>
        <w:t xml:space="preserve">уры и пространственно-градостроительного развития Оренбургской области);</w:t>
      </w:r>
      <w:r/>
    </w:p>
    <w:p>
      <w:pPr>
        <w:ind w:firstLine="709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 лиц, замещающих муниципальные должности (глава МО Адамовский поссовет Адамовского района, глава МО Федоровский сельсовет </w:t>
      </w:r>
      <w:r>
        <w:rPr>
          <w:bCs/>
          <w:color w:val="000000"/>
          <w:sz w:val="28"/>
          <w:szCs w:val="28"/>
        </w:rPr>
        <w:t xml:space="preserve">Акбулакского</w:t>
      </w:r>
      <w:r>
        <w:rPr>
          <w:bCs/>
          <w:color w:val="000000"/>
          <w:sz w:val="28"/>
          <w:szCs w:val="28"/>
        </w:rPr>
        <w:t xml:space="preserve"> района, глава МО </w:t>
      </w:r>
      <w:r>
        <w:rPr>
          <w:bCs/>
          <w:color w:val="000000"/>
          <w:sz w:val="28"/>
          <w:szCs w:val="28"/>
        </w:rPr>
        <w:t xml:space="preserve">Русскоигнашкинский</w:t>
      </w:r>
      <w:r>
        <w:rPr>
          <w:bCs/>
          <w:color w:val="000000"/>
          <w:sz w:val="28"/>
          <w:szCs w:val="28"/>
        </w:rPr>
        <w:t xml:space="preserve"> сельсовет </w:t>
      </w:r>
      <w:r>
        <w:rPr>
          <w:bCs/>
          <w:color w:val="000000"/>
          <w:sz w:val="28"/>
          <w:szCs w:val="28"/>
        </w:rPr>
        <w:t xml:space="preserve">Грачевского</w:t>
      </w:r>
      <w:r>
        <w:rPr>
          <w:bCs/>
          <w:color w:val="000000"/>
          <w:sz w:val="28"/>
          <w:szCs w:val="28"/>
        </w:rPr>
        <w:t xml:space="preserve"> района, глава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МО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Судьбодаровский</w:t>
      </w:r>
      <w:r>
        <w:rPr>
          <w:bCs/>
          <w:color w:val="000000"/>
          <w:sz w:val="28"/>
          <w:szCs w:val="28"/>
        </w:rPr>
        <w:t xml:space="preserve"> сельсовет </w:t>
      </w:r>
      <w:r>
        <w:rPr>
          <w:bCs/>
          <w:color w:val="000000"/>
          <w:sz w:val="28"/>
          <w:szCs w:val="28"/>
        </w:rPr>
        <w:t xml:space="preserve">Новосергиевского</w:t>
      </w:r>
      <w:r>
        <w:rPr>
          <w:bCs/>
          <w:color w:val="000000"/>
          <w:sz w:val="28"/>
          <w:szCs w:val="28"/>
        </w:rPr>
        <w:t xml:space="preserve"> района, глава МО Весенний сельсовет Оренбургского района, глава МО Ленинский сельсовет Оренбургского района, глава МО Южноуральский сельсовет Оренбургского района, глава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МО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Никольский </w:t>
      </w:r>
      <w:r>
        <w:rPr>
          <w:bCs/>
          <w:color w:val="000000"/>
          <w:sz w:val="28"/>
          <w:szCs w:val="28"/>
        </w:rPr>
        <w:t xml:space="preserve">сельсовет </w:t>
      </w:r>
      <w:r>
        <w:rPr>
          <w:bCs/>
          <w:color w:val="000000"/>
          <w:sz w:val="28"/>
          <w:szCs w:val="28"/>
        </w:rPr>
        <w:t xml:space="preserve">Сакмарского</w:t>
      </w:r>
      <w:r>
        <w:rPr>
          <w:bCs/>
          <w:color w:val="000000"/>
          <w:sz w:val="28"/>
          <w:szCs w:val="28"/>
        </w:rPr>
        <w:t xml:space="preserve"> района, глава МО </w:t>
      </w:r>
      <w:r>
        <w:rPr>
          <w:bCs/>
          <w:color w:val="000000"/>
          <w:sz w:val="28"/>
          <w:szCs w:val="28"/>
        </w:rPr>
        <w:t xml:space="preserve">Благодарновский</w:t>
      </w:r>
      <w:r>
        <w:rPr>
          <w:bCs/>
          <w:color w:val="000000"/>
          <w:sz w:val="28"/>
          <w:szCs w:val="28"/>
        </w:rPr>
        <w:t xml:space="preserve"> сельсовет </w:t>
      </w:r>
      <w:r>
        <w:rPr>
          <w:bCs/>
          <w:color w:val="000000"/>
          <w:sz w:val="28"/>
          <w:szCs w:val="28"/>
        </w:rPr>
        <w:t xml:space="preserve">Ташлинского</w:t>
      </w:r>
      <w:r>
        <w:rPr>
          <w:bCs/>
          <w:color w:val="000000"/>
          <w:sz w:val="28"/>
          <w:szCs w:val="28"/>
        </w:rPr>
        <w:t xml:space="preserve"> района, глава МО Трудовой сельсовет </w:t>
      </w:r>
      <w:r>
        <w:rPr>
          <w:bCs/>
          <w:color w:val="000000"/>
          <w:sz w:val="28"/>
          <w:szCs w:val="28"/>
        </w:rPr>
        <w:t xml:space="preserve">Ташлинского</w:t>
      </w:r>
      <w:r>
        <w:rPr>
          <w:bCs/>
          <w:color w:val="000000"/>
          <w:sz w:val="28"/>
          <w:szCs w:val="28"/>
        </w:rPr>
        <w:t xml:space="preserve"> района,);</w:t>
      </w:r>
      <w:r/>
    </w:p>
    <w:p>
      <w:pPr>
        <w:ind w:firstLine="709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 государственных гражданских служащих, 3 из которых относится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к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категории должностей «Руководители» высшей группы должно</w:t>
      </w:r>
      <w:r>
        <w:rPr>
          <w:bCs/>
          <w:color w:val="000000"/>
          <w:sz w:val="28"/>
          <w:szCs w:val="28"/>
        </w:rPr>
        <w:t xml:space="preserve">стей (заместитель министра культуры Оренбургской области, </w:t>
      </w:r>
      <w:r>
        <w:rPr>
          <w:bCs/>
          <w:color w:val="000000"/>
          <w:sz w:val="28"/>
          <w:szCs w:val="28"/>
        </w:rPr>
        <w:t xml:space="preserve">и.о</w:t>
      </w:r>
      <w:r>
        <w:rPr>
          <w:bCs/>
          <w:color w:val="000000"/>
          <w:sz w:val="28"/>
          <w:szCs w:val="28"/>
        </w:rPr>
        <w:t xml:space="preserve">. начальника инспекции государственного строительного надзора Оренбургской области, заместитель начальника инспекции государственного строительного надзора Оренбургской области, начальник управле</w:t>
      </w:r>
      <w:r>
        <w:rPr>
          <w:bCs/>
          <w:color w:val="000000"/>
          <w:sz w:val="28"/>
          <w:szCs w:val="28"/>
        </w:rPr>
        <w:t xml:space="preserve">ния транспорта министерства строительства, жилищно-коммунального, дорожного хозяйства и транспорта Оренбургской области, заместитель начальника управления транспорта министерства строительства, жилищно-коммунального, дорожного хозяйства и транспорта Оренбу</w:t>
      </w:r>
      <w:r>
        <w:rPr>
          <w:bCs/>
          <w:color w:val="000000"/>
          <w:sz w:val="28"/>
          <w:szCs w:val="28"/>
        </w:rPr>
        <w:t xml:space="preserve">ргской области);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 муниципальных служащих (заместитель начальника управления департамента по градостроительству и земельным отношениям администрации города Оренбурга, заместитель председателя комитета по управлению имуществом города Оренбурга, начальник от</w:t>
      </w:r>
      <w:r>
        <w:rPr>
          <w:bCs/>
          <w:sz w:val="28"/>
          <w:szCs w:val="28"/>
        </w:rPr>
        <w:t xml:space="preserve">дела по строительству, транспорту, ЖКХ, дорожному хозяйству, газификации и связи администрации Соль-</w:t>
      </w:r>
      <w:r>
        <w:rPr>
          <w:bCs/>
          <w:sz w:val="28"/>
          <w:szCs w:val="28"/>
        </w:rPr>
        <w:t xml:space="preserve">Илецкого</w:t>
      </w:r>
      <w:r>
        <w:rPr>
          <w:bCs/>
          <w:sz w:val="28"/>
          <w:szCs w:val="28"/>
        </w:rPr>
        <w:t xml:space="preserve"> городского округа, заместитель начальника управления департамента градостроительства и земельных отношений администрации города Оренбурга);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 руков</w:t>
      </w:r>
      <w:r>
        <w:rPr>
          <w:bCs/>
          <w:sz w:val="28"/>
          <w:szCs w:val="28"/>
        </w:rPr>
        <w:t xml:space="preserve">одителей учреждений (организаций), функции учредителя 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которых выполняют ОГВ и ОМСУ (директор МКУ «Центр бухгалтерского учета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отчетности» МО </w:t>
      </w:r>
      <w:r>
        <w:rPr>
          <w:bCs/>
          <w:sz w:val="28"/>
          <w:szCs w:val="28"/>
        </w:rPr>
        <w:t xml:space="preserve">Абдулинский</w:t>
      </w:r>
      <w:r>
        <w:rPr>
          <w:bCs/>
          <w:sz w:val="28"/>
          <w:szCs w:val="28"/>
        </w:rPr>
        <w:t xml:space="preserve"> городской округ, директор МУП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Кувандыкское</w:t>
      </w:r>
      <w:r>
        <w:rPr>
          <w:bCs/>
          <w:sz w:val="28"/>
          <w:szCs w:val="28"/>
        </w:rPr>
        <w:t xml:space="preserve"> коммунальное хозяйство», директор МУБК «</w:t>
      </w:r>
      <w:r>
        <w:rPr>
          <w:bCs/>
          <w:sz w:val="28"/>
          <w:szCs w:val="28"/>
        </w:rPr>
        <w:t xml:space="preserve">Беляевский</w:t>
      </w:r>
      <w:r>
        <w:rPr>
          <w:bCs/>
          <w:sz w:val="28"/>
          <w:szCs w:val="28"/>
        </w:rPr>
        <w:t xml:space="preserve"> рай</w:t>
      </w:r>
      <w:r>
        <w:rPr>
          <w:bCs/>
          <w:sz w:val="28"/>
          <w:szCs w:val="28"/>
        </w:rPr>
        <w:t xml:space="preserve">онный дом культуры», заведующая домом культуры с. </w:t>
      </w:r>
      <w:r>
        <w:rPr>
          <w:bCs/>
          <w:sz w:val="28"/>
          <w:szCs w:val="28"/>
        </w:rPr>
        <w:t xml:space="preserve">Камышино</w:t>
      </w:r>
      <w:r>
        <w:rPr>
          <w:bCs/>
          <w:sz w:val="28"/>
          <w:szCs w:val="28"/>
        </w:rPr>
        <w:t xml:space="preserve"> МБУК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«Централизованная клубная система» </w:t>
      </w:r>
      <w:r>
        <w:rPr>
          <w:bCs/>
          <w:sz w:val="28"/>
          <w:szCs w:val="28"/>
        </w:rPr>
        <w:t xml:space="preserve">Саракташского</w:t>
      </w:r>
      <w:r>
        <w:rPr>
          <w:bCs/>
          <w:sz w:val="28"/>
          <w:szCs w:val="28"/>
        </w:rPr>
        <w:t xml:space="preserve"> района, директор МБОУ «</w:t>
      </w:r>
      <w:r>
        <w:rPr>
          <w:bCs/>
          <w:sz w:val="28"/>
          <w:szCs w:val="28"/>
        </w:rPr>
        <w:t xml:space="preserve">Благословенская</w:t>
      </w:r>
      <w:r>
        <w:rPr>
          <w:bCs/>
          <w:sz w:val="28"/>
          <w:szCs w:val="28"/>
        </w:rPr>
        <w:t xml:space="preserve"> СОШ», </w:t>
      </w:r>
      <w:r>
        <w:rPr>
          <w:bCs/>
          <w:sz w:val="28"/>
          <w:szCs w:val="28"/>
        </w:rPr>
        <w:t xml:space="preserve">руководитель Бюро № 14 медико-социальной экспертизы филиала ФКУ «Главного бюро медико-социальной э</w:t>
      </w:r>
      <w:r>
        <w:rPr>
          <w:bCs/>
          <w:sz w:val="28"/>
          <w:szCs w:val="28"/>
        </w:rPr>
        <w:t xml:space="preserve">кспертизы 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Оренбургской области», начальник управления ГБУ «</w:t>
      </w:r>
      <w:r>
        <w:rPr>
          <w:bCs/>
          <w:sz w:val="28"/>
          <w:szCs w:val="28"/>
        </w:rPr>
        <w:t xml:space="preserve">Шарлыкское</w:t>
      </w:r>
      <w:r>
        <w:rPr>
          <w:bCs/>
          <w:sz w:val="28"/>
          <w:szCs w:val="28"/>
        </w:rPr>
        <w:t xml:space="preserve"> районное управление ветеринарии», директор МБУ «Благоустройство» Оренбургского района) и 5 работников </w:t>
      </w:r>
      <w:r>
        <w:rPr>
          <w:bCs/>
          <w:sz w:val="28"/>
          <w:szCs w:val="28"/>
        </w:rPr>
        <w:t xml:space="preserve">учреждений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(2 бухгалтера МКУ «Центр бухгалтерского учета и отчетности» МО </w:t>
      </w:r>
      <w:r>
        <w:rPr>
          <w:bCs/>
          <w:sz w:val="28"/>
          <w:szCs w:val="28"/>
        </w:rPr>
        <w:t xml:space="preserve">Абдулинский</w:t>
      </w:r>
      <w:r>
        <w:rPr>
          <w:bCs/>
          <w:sz w:val="28"/>
          <w:szCs w:val="28"/>
        </w:rPr>
        <w:t xml:space="preserve"> городской округ, врач 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медико-социальной экспертизе, психиатр Бюро № 17, специалист по пожарной безопасности и ГО инженерной службы ГАУ «СШОР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№ 4», главный бухгалтер ГБУ «</w:t>
      </w:r>
      <w:r>
        <w:rPr>
          <w:bCs/>
          <w:sz w:val="28"/>
          <w:szCs w:val="28"/>
        </w:rPr>
        <w:t xml:space="preserve">Шарлыкское</w:t>
      </w:r>
      <w:r>
        <w:rPr>
          <w:bCs/>
          <w:sz w:val="28"/>
          <w:szCs w:val="28"/>
        </w:rPr>
        <w:t xml:space="preserve"> районное управление ветеринарии»).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период 2022-2023 совер</w:t>
      </w:r>
      <w:r>
        <w:rPr>
          <w:bCs/>
          <w:sz w:val="28"/>
          <w:szCs w:val="28"/>
        </w:rPr>
        <w:t xml:space="preserve">шены преступления, предусмотренные следующими статьями УК РФ: 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4"/>
        <w:gridCol w:w="7028"/>
        <w:gridCol w:w="1391"/>
        <w:gridCol w:w="1462"/>
      </w:tblGrid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Статья УК РФ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2023 год</w:t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159 УК РФ (мошенничество)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</w:t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160 УК РФ (присвоение или растрата)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</w:t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285 УК РФ (злоупотребление должностными полномочиями)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286 УК РФ (превышение должностных полномочий)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290 УК РФ (получение взятки)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</w:t>
            </w:r>
            <w:r/>
          </w:p>
        </w:tc>
      </w:tr>
      <w:tr>
        <w:trPr>
          <w:trHeight w:val="322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</w:t>
            </w:r>
            <w:r/>
          </w:p>
        </w:tc>
        <w:tc>
          <w:tcPr>
            <w:tcW w:w="7100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291 УК РФ (дача взятки)</w:t>
            </w:r>
            <w:r/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</w:t>
            </w:r>
            <w:r/>
          </w:p>
        </w:tc>
        <w:tc>
          <w:tcPr>
            <w:tcW w:w="1473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292 УК РФ (служебный подлог)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/>
          </w:p>
        </w:tc>
      </w:tr>
      <w:tr>
        <w:trPr>
          <w:trHeight w:val="322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</w:t>
            </w:r>
            <w:r/>
          </w:p>
        </w:tc>
        <w:tc>
          <w:tcPr>
            <w:tcW w:w="7100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  <w:r/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39</w:t>
            </w:r>
            <w:r/>
          </w:p>
        </w:tc>
        <w:tc>
          <w:tcPr>
            <w:tcW w:w="1473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39</w:t>
            </w:r>
            <w:r/>
          </w:p>
        </w:tc>
      </w:tr>
    </w:tbl>
    <w:p>
      <w:pPr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2022 году </w:t>
      </w:r>
      <w:r>
        <w:rPr>
          <w:bCs/>
          <w:color w:val="000000" w:themeColor="text1"/>
          <w:sz w:val="28"/>
          <w:szCs w:val="28"/>
        </w:rPr>
        <w:t xml:space="preserve">в отношении руководителей и работников учреждений (организаций), функции учредителя для которых выполняют ОГВ и ОМСУ Оренбургской области возбуждено 13 уголовных дел (33 % от общего числа преступлений).</w:t>
      </w:r>
      <w:r>
        <w:rPr>
          <w:color w:val="000000" w:themeColor="text1"/>
        </w:rPr>
      </w:r>
      <w:r/>
    </w:p>
    <w:p>
      <w:pPr>
        <w:ind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2023 году 14 уголовных дел (36 % от общего числа пр</w:t>
      </w:r>
      <w:r>
        <w:rPr>
          <w:bCs/>
          <w:color w:val="000000" w:themeColor="text1"/>
          <w:sz w:val="28"/>
          <w:szCs w:val="28"/>
        </w:rPr>
        <w:t xml:space="preserve">еступлений), в том числе по статьям 159 УК РФ, 290 УК РФ, 291 УК РФ, возбуждено в отношении данной категории лиц. Рост составил 3%.</w:t>
      </w:r>
      <w:r>
        <w:rPr>
          <w:color w:val="000000" w:themeColor="text1"/>
        </w:rPr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Комитет обращает внимание на увеличение количества возбужденных уголовных дел по выявленным преступлениям коррупционной направленности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 отношении лиц, замещающих муниципальные долж</w:t>
      </w:r>
      <w:r>
        <w:rPr>
          <w:bCs/>
          <w:sz w:val="28"/>
          <w:szCs w:val="28"/>
        </w:rPr>
        <w:t xml:space="preserve">ности. Если в 2022 году лицами данной категории совершено 11 преступлений, то в 2023 году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14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(рост 8%). Рост обозначен увеличением количества возбужденных уголовных дел по ст.ст. 159 УК РФ, 292 УК РФ.</w:t>
      </w:r>
      <w:r/>
    </w:p>
    <w:p>
      <w:pPr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2022 году муниципальными служащими совершено 10 преступлений коррупционной направленности, в 2023 году – 4. Показатель по совершенным преступлениям </w:t>
      </w:r>
      <w:r>
        <w:rPr>
          <w:bCs/>
          <w:sz w:val="28"/>
          <w:szCs w:val="28"/>
        </w:rPr>
        <w:t xml:space="preserve">снизился на</w:t>
      </w:r>
      <w:r>
        <w:rPr>
          <w:bCs/>
          <w:color w:val="000000"/>
          <w:sz w:val="28"/>
          <w:szCs w:val="28"/>
        </w:rPr>
        <w:t xml:space="preserve"> 60%.</w:t>
      </w:r>
      <w:r/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2022 году государственными гражданскими служащими совершено 3 преступления коррупционной направленности, 1 из которых совершено служащим, чья должность относится к категории «Руководители», в 2023 – 6 пр</w:t>
      </w:r>
      <w:r>
        <w:rPr>
          <w:bCs/>
          <w:sz w:val="28"/>
          <w:szCs w:val="28"/>
        </w:rPr>
        <w:t xml:space="preserve">еступления, 4 из которых совершено служащими, чья должность относится к категории «Руководители». </w:t>
      </w:r>
      <w:r/>
    </w:p>
    <w:p>
      <w:pPr>
        <w:ind w:firstLine="709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Материальный ущерб от коррупционных преступлений в 2023 году составил 31 312 000 рублей. </w:t>
      </w:r>
      <w:r/>
    </w:p>
    <w:p>
      <w:pPr>
        <w:ind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none"/>
        </w:rPr>
        <w:t xml:space="preserve">Коррупциогенным</w:t>
      </w:r>
      <w:r>
        <w:rPr>
          <w:color w:val="000000" w:themeColor="text1"/>
          <w:sz w:val="28"/>
          <w:szCs w:val="28"/>
        </w:rPr>
        <w:t xml:space="preserve"> фактором, </w:t>
      </w:r>
      <w:r>
        <w:rPr>
          <w:color w:val="000000" w:themeColor="text1"/>
          <w:sz w:val="28"/>
          <w:szCs w:val="28"/>
        </w:rPr>
        <w:t xml:space="preserve">который оказал существенное влияние на совершение коррупционных преступлений является наличие широких дискретных </w:t>
      </w:r>
      <w:r>
        <w:rPr>
          <w:color w:val="000000" w:themeColor="text1"/>
          <w:sz w:val="28"/>
          <w:szCs w:val="28"/>
        </w:rPr>
        <w:t xml:space="preserve">полномочий при осуществлении разрешительной, регистрационной и других видов публичной деятельности. У должностных лиц в исключительной компетен</w:t>
      </w:r>
      <w:r>
        <w:rPr>
          <w:color w:val="000000" w:themeColor="text1"/>
          <w:sz w:val="28"/>
          <w:szCs w:val="28"/>
        </w:rPr>
        <w:t xml:space="preserve">ции находятся управленческие, распорядительские функции. Наличие властных полномочий, отсутствие альтернативы у граждан при обращении в органы (организации) приводят к совершению коррупционных преступлений.</w:t>
      </w:r>
      <w:r>
        <w:rPr>
          <w:color w:val="000000" w:themeColor="text1"/>
        </w:rPr>
      </w:r>
      <w:r/>
    </w:p>
    <w:p>
      <w:pPr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Терпимость общества к коррупции, готовность гр</w:t>
      </w:r>
      <w:r>
        <w:rPr>
          <w:color w:val="000000"/>
          <w:sz w:val="28"/>
          <w:szCs w:val="28"/>
        </w:rPr>
        <w:t xml:space="preserve">аждан в процессе коммерческой или иной деятельности к решению возникающих при этом вопросов путем подкупа должностных лиц является одним из главных факторов распространенности взяточничества в среде представителей органов государственной власти. Общество, </w:t>
      </w:r>
      <w:r>
        <w:rPr>
          <w:color w:val="000000"/>
          <w:sz w:val="28"/>
          <w:szCs w:val="28"/>
        </w:rPr>
        <w:t xml:space="preserve">с одной стороны, поддерживает публичные обвинения в коррупции, а с другой, нередко для решения собственных проблем </w:t>
      </w:r>
      <w:r>
        <w:rPr>
          <w:color w:val="000000"/>
          <w:sz w:val="28"/>
          <w:szCs w:val="28"/>
        </w:rPr>
        <w:t xml:space="preserve">выбирает наиболее легкий в путь в виде дачи взятки. </w:t>
      </w:r>
      <w:r/>
    </w:p>
    <w:p>
      <w:pPr>
        <w:ind w:firstLine="709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Причины формирования такого мнения заключаются в снисходительном отношении к правонаруш</w:t>
      </w:r>
      <w:r>
        <w:rPr>
          <w:color w:val="000000" w:themeColor="text1"/>
          <w:sz w:val="28"/>
          <w:szCs w:val="28"/>
        </w:rPr>
        <w:t xml:space="preserve">ениям,</w:t>
      </w:r>
      <w:r>
        <w:rPr>
          <w:bCs/>
          <w:color w:val="000000" w:themeColor="text1"/>
          <w:sz w:val="28"/>
          <w:szCs w:val="28"/>
        </w:rPr>
        <w:t xml:space="preserve"> а </w:t>
      </w:r>
      <w:r>
        <w:rPr>
          <w:bCs/>
          <w:color w:val="000000" w:themeColor="text1"/>
          <w:sz w:val="28"/>
          <w:szCs w:val="28"/>
        </w:rPr>
        <w:t xml:space="preserve">так же</w:t>
      </w:r>
      <w:r>
        <w:rPr>
          <w:bCs/>
          <w:color w:val="000000" w:themeColor="text1"/>
          <w:sz w:val="28"/>
          <w:szCs w:val="28"/>
        </w:rPr>
        <w:t xml:space="preserve"> в наличии сложных административных процедур для получения решений</w:t>
      </w:r>
      <w:r>
        <w:rPr>
          <w:bCs/>
          <w:color w:val="000000" w:themeColor="text1"/>
          <w:sz w:val="28"/>
          <w:szCs w:val="28"/>
        </w:rPr>
        <w:t xml:space="preserve">, которые зачастую при прохождении занимает большую часть времени у граждан.</w:t>
      </w:r>
      <w:r>
        <w:rPr>
          <w:color w:val="000000" w:themeColor="text1"/>
        </w:rPr>
      </w:r>
      <w:r/>
    </w:p>
    <w:p>
      <w:pPr>
        <w:ind w:firstLine="709"/>
        <w:jc w:val="both"/>
        <w:spacing w:line="276" w:lineRule="auto"/>
        <w:rPr>
          <w:color w:val="000000" w:themeColor="text1"/>
        </w:rPr>
      </w:pPr>
      <w:r>
        <w:rPr>
          <w:bCs/>
          <w:sz w:val="28"/>
          <w:szCs w:val="28"/>
        </w:rPr>
        <w:t xml:space="preserve">За 2022 год в отношении государственных гражданских и муниципальных служащих, лиц, замещающих муниципальные должности, руководителей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работников организаций, функции учредителя для которых выполняют ОГВ и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ОМСУ Оренбургской области</w:t>
      </w:r>
      <w:r>
        <w:rPr>
          <w:bCs/>
          <w:color w:val="000000" w:themeColor="text1"/>
          <w:sz w:val="28"/>
          <w:szCs w:val="28"/>
        </w:rPr>
        <w:t xml:space="preserve">, выявлено 327 фак</w:t>
      </w:r>
      <w:r>
        <w:rPr>
          <w:bCs/>
          <w:color w:val="000000" w:themeColor="text1"/>
          <w:sz w:val="28"/>
          <w:szCs w:val="28"/>
        </w:rPr>
        <w:t xml:space="preserve">тов коррупционных правонарушений, однако к дисциплинарной ответственности привлечено только 207 лиц.</w:t>
      </w:r>
      <w:r>
        <w:rPr>
          <w:color w:val="000000" w:themeColor="text1"/>
        </w:rPr>
      </w:r>
      <w:r/>
    </w:p>
    <w:p>
      <w:pPr>
        <w:ind w:firstLine="709"/>
        <w:jc w:val="both"/>
        <w:spacing w:line="276" w:lineRule="auto"/>
        <w:rPr>
          <w:color w:val="000000" w:themeColor="text1"/>
        </w:rPr>
      </w:pPr>
      <w:r>
        <w:rPr>
          <w:bCs/>
          <w:sz w:val="28"/>
          <w:szCs w:val="28"/>
        </w:rPr>
        <w:t xml:space="preserve">За 2023 год в отношении государственных гражданских и муниципальных служащих, лиц, замещающих муниципальные должности, руководителей </w:t>
      </w:r>
      <w:r>
        <w:rPr>
          <w:bCs/>
          <w:sz w:val="28"/>
          <w:szCs w:val="28"/>
        </w:rPr>
        <w:t xml:space="preserve">и работников организаций, функ</w:t>
      </w:r>
      <w:r>
        <w:rPr>
          <w:bCs/>
          <w:sz w:val="28"/>
          <w:szCs w:val="28"/>
        </w:rPr>
        <w:t xml:space="preserve">ции учредителя для которых выполняют ОГВ </w:t>
      </w:r>
      <w:r>
        <w:rPr>
          <w:bCs/>
          <w:color w:val="000000" w:themeColor="text1"/>
          <w:sz w:val="28"/>
          <w:szCs w:val="28"/>
        </w:rPr>
        <w:t xml:space="preserve">и ОМСУ Оренбургской области,</w:t>
      </w:r>
      <w:r>
        <w:rPr>
          <w:bCs/>
          <w:color w:val="000000" w:themeColor="text1"/>
          <w:sz w:val="28"/>
          <w:szCs w:val="28"/>
        </w:rPr>
        <w:t xml:space="preserve"> выявлено 196 фактов коррупционных правонарушений, а к дисциплинарной ответственности привлечено только 135 лиц.</w:t>
      </w:r>
      <w:r>
        <w:rPr>
          <w:color w:val="000000" w:themeColor="text1"/>
        </w:rPr>
      </w:r>
      <w:r/>
    </w:p>
    <w:p>
      <w:pPr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Ощущение экономической нестабильности подталкивает</w:t>
      </w:r>
      <w:r>
        <w:rPr>
          <w:color w:val="000000"/>
          <w:sz w:val="28"/>
          <w:szCs w:val="28"/>
        </w:rPr>
        <w:t xml:space="preserve"> должностное лицо обменивать свои «должностные возможности» на «экономические выгоды». Так, в 2022 году по ст. 290 УК РФ (получение взятки) возбуждено 12 уголовных дел (31% от общего количества преступлений коррупционной направленности), в 2023 - 10 (26 %)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Борьба с коррупцией будет эффективна в результате проведения профилактических мероприятий в рамках реализации антикоррупционной политики. Например, правовое просвещение, обучение и консультирование государственных (муниципальных) служащих по вопросам про</w:t>
      </w:r>
      <w:r>
        <w:rPr>
          <w:bCs/>
          <w:sz w:val="28"/>
          <w:szCs w:val="28"/>
        </w:rPr>
        <w:t xml:space="preserve">тиводействия коррупции, обязательное обеспечение соблюдения ими запретов, ограничений, требований к служебному поведению, в том числе через применение дисциплинарной практики, учитывающей возможность расторжения служебного контракта, досрочное сложение дол</w:t>
      </w:r>
      <w:r>
        <w:rPr>
          <w:bCs/>
          <w:sz w:val="28"/>
          <w:szCs w:val="28"/>
        </w:rPr>
        <w:t xml:space="preserve">жностных (служебных) полномочий за утрату доверия.</w:t>
      </w:r>
      <w:r/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про</w:t>
      </w:r>
      <w:r>
        <w:rPr>
          <w:sz w:val="28"/>
          <w:szCs w:val="28"/>
        </w:rPr>
        <w:t xml:space="preserve">филактике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коррупционных правонарушений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</w:t>
      </w:r>
      <w:r/>
    </w:p>
    <w:sectPr>
      <w:headerReference w:type="default" r:id="rId9"/>
      <w:footnotePr/>
      <w:endnotePr/>
      <w:type w:val="nextPage"/>
      <w:pgSz w:w="11907" w:h="16840" w:orient="portrait"/>
      <w:pgMar w:top="284" w:right="567" w:bottom="737" w:left="119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7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8"/>
    <w:link w:val="680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8"/>
    <w:link w:val="702"/>
    <w:uiPriority w:val="10"/>
    <w:rPr>
      <w:sz w:val="48"/>
      <w:szCs w:val="48"/>
    </w:rPr>
  </w:style>
  <w:style w:type="character" w:styleId="672">
    <w:name w:val="Subtitle Char"/>
    <w:basedOn w:val="688"/>
    <w:link w:val="704"/>
    <w:uiPriority w:val="11"/>
    <w:rPr>
      <w:sz w:val="24"/>
      <w:szCs w:val="24"/>
    </w:rPr>
  </w:style>
  <w:style w:type="character" w:styleId="673">
    <w:name w:val="Quote Char"/>
    <w:link w:val="706"/>
    <w:uiPriority w:val="29"/>
    <w:rPr>
      <w:i/>
    </w:rPr>
  </w:style>
  <w:style w:type="character" w:styleId="674">
    <w:name w:val="Intense Quote Char"/>
    <w:link w:val="708"/>
    <w:uiPriority w:val="30"/>
    <w:rPr>
      <w:i/>
    </w:rPr>
  </w:style>
  <w:style w:type="character" w:styleId="675">
    <w:name w:val="Caption Char"/>
    <w:basedOn w:val="714"/>
    <w:link w:val="712"/>
    <w:uiPriority w:val="99"/>
  </w:style>
  <w:style w:type="character" w:styleId="676">
    <w:name w:val="Footnote Text Char"/>
    <w:link w:val="843"/>
    <w:uiPriority w:val="99"/>
    <w:rPr>
      <w:sz w:val="18"/>
    </w:rPr>
  </w:style>
  <w:style w:type="character" w:styleId="677">
    <w:name w:val="Endnote Text Char"/>
    <w:link w:val="846"/>
    <w:uiPriority w:val="99"/>
    <w:rPr>
      <w:sz w:val="20"/>
    </w:rPr>
  </w:style>
  <w:style w:type="paragraph" w:styleId="678" w:default="1">
    <w:name w:val="Normal"/>
    <w:qFormat/>
  </w:style>
  <w:style w:type="paragraph" w:styleId="679">
    <w:name w:val="Heading 1"/>
    <w:basedOn w:val="678"/>
    <w:next w:val="678"/>
    <w:link w:val="691"/>
    <w:qFormat/>
    <w:pPr>
      <w:ind w:firstLine="2481"/>
      <w:keepNext/>
      <w:outlineLvl w:val="0"/>
    </w:pPr>
    <w:rPr>
      <w:sz w:val="24"/>
    </w:rPr>
  </w:style>
  <w:style w:type="paragraph" w:styleId="680">
    <w:name w:val="Heading 2"/>
    <w:basedOn w:val="678"/>
    <w:next w:val="678"/>
    <w:link w:val="692"/>
    <w:qFormat/>
    <w:pPr>
      <w:ind w:right="141"/>
      <w:jc w:val="both"/>
      <w:keepNext/>
      <w:outlineLvl w:val="1"/>
    </w:pPr>
    <w:rPr>
      <w:sz w:val="28"/>
    </w:rPr>
  </w:style>
  <w:style w:type="paragraph" w:styleId="681">
    <w:name w:val="Heading 3"/>
    <w:basedOn w:val="678"/>
    <w:next w:val="678"/>
    <w:link w:val="693"/>
    <w:qFormat/>
    <w:pPr>
      <w:ind w:left="215"/>
      <w:keepNext/>
      <w:outlineLvl w:val="2"/>
    </w:pPr>
    <w:rPr>
      <w:sz w:val="28"/>
    </w:rPr>
  </w:style>
  <w:style w:type="paragraph" w:styleId="682">
    <w:name w:val="Heading 4"/>
    <w:basedOn w:val="678"/>
    <w:next w:val="678"/>
    <w:link w:val="694"/>
    <w:qFormat/>
    <w:pPr>
      <w:keepNext/>
      <w:outlineLvl w:val="3"/>
    </w:pPr>
    <w:rPr>
      <w:b/>
      <w:sz w:val="24"/>
    </w:rPr>
  </w:style>
  <w:style w:type="paragraph" w:styleId="683">
    <w:name w:val="Heading 5"/>
    <w:basedOn w:val="678"/>
    <w:next w:val="678"/>
    <w:link w:val="695"/>
    <w:qFormat/>
    <w:pPr>
      <w:jc w:val="center"/>
      <w:keepNext/>
      <w:outlineLvl w:val="4"/>
    </w:pPr>
    <w:rPr>
      <w:b/>
      <w:sz w:val="32"/>
    </w:rPr>
  </w:style>
  <w:style w:type="paragraph" w:styleId="684">
    <w:name w:val="Heading 6"/>
    <w:basedOn w:val="678"/>
    <w:next w:val="678"/>
    <w:link w:val="696"/>
    <w:qFormat/>
    <w:pPr>
      <w:keepNext/>
      <w:framePr w:w="3604" w:h="578" w:hSpace="181" w:wrap="around" w:vAnchor="page" w:hAnchor="page" w:x="7941" w:y="426"/>
      <w:outlineLvl w:val="5"/>
    </w:pPr>
    <w:rPr>
      <w:sz w:val="28"/>
    </w:rPr>
  </w:style>
  <w:style w:type="paragraph" w:styleId="685">
    <w:name w:val="Heading 7"/>
    <w:basedOn w:val="678"/>
    <w:next w:val="67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link w:val="681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78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01">
    <w:name w:val="No Spacing"/>
    <w:uiPriority w:val="1"/>
    <w:qFormat/>
    <w:rPr>
      <w:lang w:eastAsia="zh-CN"/>
    </w:rPr>
  </w:style>
  <w:style w:type="paragraph" w:styleId="702">
    <w:name w:val="Title"/>
    <w:basedOn w:val="678"/>
    <w:next w:val="678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 w:customStyle="1">
    <w:name w:val="Заголовок Знак"/>
    <w:link w:val="702"/>
    <w:uiPriority w:val="10"/>
    <w:rPr>
      <w:sz w:val="48"/>
      <w:szCs w:val="48"/>
    </w:rPr>
  </w:style>
  <w:style w:type="paragraph" w:styleId="704">
    <w:name w:val="Subtitle"/>
    <w:basedOn w:val="678"/>
    <w:next w:val="678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 w:customStyle="1">
    <w:name w:val="Подзаголовок Знак"/>
    <w:link w:val="704"/>
    <w:uiPriority w:val="11"/>
    <w:rPr>
      <w:sz w:val="24"/>
      <w:szCs w:val="24"/>
    </w:rPr>
  </w:style>
  <w:style w:type="paragraph" w:styleId="706">
    <w:name w:val="Quote"/>
    <w:basedOn w:val="678"/>
    <w:next w:val="678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78"/>
    <w:next w:val="678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>
    <w:name w:val="Header"/>
    <w:basedOn w:val="678"/>
    <w:link w:val="865"/>
    <w:uiPriority w:val="99"/>
    <w:pPr>
      <w:tabs>
        <w:tab w:val="center" w:pos="4153" w:leader="none"/>
        <w:tab w:val="right" w:pos="8306" w:leader="none"/>
      </w:tabs>
    </w:pPr>
  </w:style>
  <w:style w:type="character" w:styleId="711" w:customStyle="1">
    <w:name w:val="Header Char"/>
    <w:uiPriority w:val="99"/>
  </w:style>
  <w:style w:type="paragraph" w:styleId="712">
    <w:name w:val="Footer"/>
    <w:basedOn w:val="678"/>
    <w:link w:val="715"/>
    <w:pPr>
      <w:tabs>
        <w:tab w:val="center" w:pos="4153" w:leader="none"/>
        <w:tab w:val="right" w:pos="8306" w:leader="none"/>
      </w:tabs>
    </w:pPr>
  </w:style>
  <w:style w:type="character" w:styleId="713" w:customStyle="1">
    <w:name w:val="Footer Char"/>
    <w:uiPriority w:val="99"/>
  </w:style>
  <w:style w:type="paragraph" w:styleId="714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5" w:customStyle="1">
    <w:name w:val="Нижний колонтитул Знак"/>
    <w:link w:val="712"/>
    <w:uiPriority w:val="99"/>
  </w:style>
  <w:style w:type="table" w:styleId="716">
    <w:name w:val="Table Grid"/>
    <w:basedOn w:val="689"/>
    <w:tblPr/>
  </w:style>
  <w:style w:type="table" w:styleId="71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2">
    <w:name w:val="Hyperlink"/>
    <w:uiPriority w:val="99"/>
    <w:unhideWhenUsed/>
    <w:rPr>
      <w:color w:val="0000ff"/>
      <w:u w:val="single"/>
    </w:rPr>
  </w:style>
  <w:style w:type="paragraph" w:styleId="843">
    <w:name w:val="footnote text"/>
    <w:basedOn w:val="678"/>
    <w:link w:val="844"/>
    <w:uiPriority w:val="99"/>
    <w:semiHidden/>
    <w:unhideWhenUsed/>
    <w:pPr>
      <w:spacing w:after="40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678"/>
    <w:link w:val="847"/>
    <w:uiPriority w:val="99"/>
    <w:semiHidden/>
    <w:unhideWhenUsed/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678"/>
    <w:next w:val="678"/>
    <w:uiPriority w:val="39"/>
    <w:unhideWhenUsed/>
    <w:pPr>
      <w:spacing w:after="57"/>
    </w:pPr>
  </w:style>
  <w:style w:type="paragraph" w:styleId="850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51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2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3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54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55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56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57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  <w:rPr>
      <w:lang w:eastAsia="zh-CN"/>
    </w:rPr>
  </w:style>
  <w:style w:type="paragraph" w:styleId="859">
    <w:name w:val="table of figures"/>
    <w:basedOn w:val="678"/>
    <w:next w:val="678"/>
    <w:uiPriority w:val="99"/>
    <w:unhideWhenUsed/>
  </w:style>
  <w:style w:type="paragraph" w:styleId="860">
    <w:name w:val="Body Text"/>
    <w:basedOn w:val="678"/>
    <w:pPr>
      <w:framePr w:w="3604" w:h="578" w:hSpace="181" w:wrap="around" w:vAnchor="page" w:hAnchor="page" w:x="7941" w:y="426"/>
    </w:pPr>
    <w:rPr>
      <w:sz w:val="28"/>
    </w:rPr>
  </w:style>
  <w:style w:type="paragraph" w:styleId="861">
    <w:name w:val="Balloon Text"/>
    <w:basedOn w:val="678"/>
    <w:link w:val="862"/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link w:val="861"/>
    <w:rPr>
      <w:rFonts w:ascii="Segoe UI" w:hAnsi="Segoe UI" w:cs="Segoe UI"/>
      <w:sz w:val="18"/>
      <w:szCs w:val="18"/>
    </w:rPr>
  </w:style>
  <w:style w:type="paragraph" w:styleId="86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64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865" w:customStyle="1">
    <w:name w:val="Верхний колонтитул Знак"/>
    <w:link w:val="710"/>
    <w:uiPriority w:val="99"/>
  </w:style>
  <w:style w:type="paragraph" w:styleId="866">
    <w:name w:val="Normal (Web)"/>
    <w:basedOn w:val="678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областная 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revision>22</cp:revision>
  <dcterms:created xsi:type="dcterms:W3CDTF">2023-03-15T11:57:00Z</dcterms:created>
  <dcterms:modified xsi:type="dcterms:W3CDTF">2024-03-05T04:19:57Z</dcterms:modified>
  <cp:version>983040</cp:version>
</cp:coreProperties>
</file>