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2E2" w:rsidRDefault="002336DC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4C02E2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</w:p>
    <w:p w:rsidR="004C02E2" w:rsidRPr="00A44A70" w:rsidRDefault="00306A0B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2336DC">
        <w:rPr>
          <w:rFonts w:ascii="Times New Roman" w:hAnsi="Times New Roman" w:cs="Times New Roman"/>
          <w:sz w:val="28"/>
          <w:szCs w:val="28"/>
        </w:rPr>
        <w:t>Ы</w:t>
      </w:r>
      <w:bookmarkStart w:id="0" w:name="_GoBack"/>
      <w:bookmarkEnd w:id="0"/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A44A70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A44A7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A44A70">
        <w:rPr>
          <w:rFonts w:ascii="Times New Roman" w:hAnsi="Times New Roman" w:cs="Times New Roman"/>
          <w:sz w:val="28"/>
          <w:szCs w:val="28"/>
        </w:rPr>
        <w:t>Крыловский район</w:t>
      </w: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A44A70">
        <w:rPr>
          <w:rFonts w:ascii="Times New Roman" w:hAnsi="Times New Roman" w:cs="Times New Roman"/>
          <w:sz w:val="28"/>
          <w:szCs w:val="28"/>
        </w:rPr>
        <w:t>от _______________ № _____</w:t>
      </w:r>
    </w:p>
    <w:p w:rsidR="004C02E2" w:rsidRDefault="004C02E2" w:rsidP="004C02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02E2" w:rsidRPr="007A3FAA" w:rsidRDefault="004C02E2" w:rsidP="004C02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336DC" w:rsidRPr="007A3FAA" w:rsidRDefault="002336DC" w:rsidP="002336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64"/>
      <w:bookmarkEnd w:id="1"/>
      <w:r w:rsidRPr="007A3FAA">
        <w:rPr>
          <w:rFonts w:ascii="Times New Roman" w:hAnsi="Times New Roman" w:cs="Times New Roman"/>
          <w:sz w:val="28"/>
          <w:szCs w:val="28"/>
        </w:rPr>
        <w:t>ПРАВИЛА</w:t>
      </w:r>
    </w:p>
    <w:p w:rsidR="002336DC" w:rsidRPr="007A3FAA" w:rsidRDefault="002336DC" w:rsidP="002336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размещения, обустройства и эксплуатации нестационарных площадок (выносных столов) при стационарных предприятиях</w:t>
      </w:r>
    </w:p>
    <w:p w:rsidR="002336DC" w:rsidRPr="007A3FAA" w:rsidRDefault="002336DC" w:rsidP="002336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общественного питания</w:t>
      </w:r>
    </w:p>
    <w:p w:rsidR="002336DC" w:rsidRPr="007A3FAA" w:rsidRDefault="002336DC" w:rsidP="002336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336DC" w:rsidRPr="007A3FAA" w:rsidRDefault="002336DC" w:rsidP="002336D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2336DC" w:rsidRPr="007A3FAA" w:rsidRDefault="002336DC" w:rsidP="002336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1.1. Настоящие Правила устанавливают требования к размещению, обустройству и эксплуатации нестационарных площадок (выносных столов) при стационарных предприятиях общественного питания на земельных участках, находящихся в муниципальной собственности или государственная собственность на которые не разграничена.</w:t>
      </w:r>
    </w:p>
    <w:p w:rsidR="002336DC" w:rsidRPr="007A3FAA" w:rsidRDefault="002336DC" w:rsidP="002336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1.2. Под нестационарными площадками (выносными столами) при стационарных предприятиях общественного питания (далее - нестационарные площадки) понимаются временные сооружения или временные конструкции, оборудованные в соответствии с утвержденными требованиями, предназначенные для дополнительного обслуживания питанием и (или без) отдыха потребителей, непосредственно примыкающие к капитальному зданию, строению, сооружению или отстоящие не более чем на 4 метра от здания, строения, сооружения, в котором осуществляется деятельность по оказанию услуг общественного питания предприятием общественного питания.</w:t>
      </w:r>
    </w:p>
    <w:p w:rsidR="002336DC" w:rsidRPr="007A3FAA" w:rsidRDefault="002336DC" w:rsidP="002336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Указанное в настоящем пункте расстояние измеряется от входной группы в здание, строение, сооружение, в котором осуществляется деятельность по оказанию услуг общественного питания предприятием общественного питания, до ближайших к такому зданию, строению, сооружению крайних элементов конструкций нестационарной площадки.</w:t>
      </w:r>
    </w:p>
    <w:p w:rsidR="002336DC" w:rsidRPr="007A3FAA" w:rsidRDefault="002336DC" w:rsidP="002336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1.3. Размещение нестационарных площадок осуществляется на основании договора о размещении нестационарного торгового объекта (далее - НТО), заключаемого с </w:t>
      </w:r>
      <w:r>
        <w:rPr>
          <w:rFonts w:ascii="Times New Roman" w:hAnsi="Times New Roman" w:cs="Times New Roman"/>
          <w:bCs/>
          <w:sz w:val="28"/>
          <w:szCs w:val="28"/>
        </w:rPr>
        <w:t>отделом муниципального имущества администрации муниципального образования Крыловский район</w:t>
      </w:r>
      <w:r w:rsidRPr="007A3FAA">
        <w:rPr>
          <w:rFonts w:ascii="Times New Roman" w:hAnsi="Times New Roman" w:cs="Times New Roman"/>
          <w:sz w:val="28"/>
          <w:szCs w:val="28"/>
        </w:rPr>
        <w:t xml:space="preserve">. Заключение договора о размещении НТО производится без прохождения процедуры торгов на основании решения </w:t>
      </w:r>
      <w:r w:rsidRPr="00717B37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Крыловский район о включении нестационарной площадки в Схему</w:t>
      </w:r>
      <w:r w:rsidRPr="007A3FAA">
        <w:rPr>
          <w:rFonts w:ascii="Times New Roman" w:hAnsi="Times New Roman" w:cs="Times New Roman"/>
          <w:sz w:val="28"/>
          <w:szCs w:val="28"/>
        </w:rPr>
        <w:t>.</w:t>
      </w:r>
    </w:p>
    <w:p w:rsidR="002336DC" w:rsidRPr="007A3FAA" w:rsidRDefault="002336DC" w:rsidP="002336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1.4. Срок действия договора о размещении НТО (нестационарной площадки) устанавливается на период размещения нестационарной площадки, но не может превышать пяти лет. В случае заключения договора о размещении НТО (нестационарной площадки) с арендатором помещения срок действия договора о размещении НТО (нестационарной площадки) не может превышать срок действия договора аренды помещения, в котором оказываются услуги </w:t>
      </w:r>
      <w:r w:rsidRPr="007A3FAA">
        <w:rPr>
          <w:rFonts w:ascii="Times New Roman" w:hAnsi="Times New Roman" w:cs="Times New Roman"/>
          <w:sz w:val="28"/>
          <w:szCs w:val="28"/>
        </w:rPr>
        <w:lastRenderedPageBreak/>
        <w:t>общественного питания.</w:t>
      </w:r>
    </w:p>
    <w:p w:rsidR="002336DC" w:rsidRPr="007A3FAA" w:rsidRDefault="002336DC" w:rsidP="002336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2336DC" w:rsidRPr="007A3FAA" w:rsidRDefault="002336DC" w:rsidP="002336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1) копии правоустанавливающих и </w:t>
      </w:r>
      <w:proofErr w:type="spellStart"/>
      <w:r w:rsidRPr="007A3FAA">
        <w:rPr>
          <w:rFonts w:ascii="Times New Roman" w:hAnsi="Times New Roman" w:cs="Times New Roman"/>
          <w:sz w:val="28"/>
          <w:szCs w:val="28"/>
        </w:rPr>
        <w:t>правоудостоверяющих</w:t>
      </w:r>
      <w:proofErr w:type="spellEnd"/>
      <w:r w:rsidRPr="007A3FAA">
        <w:rPr>
          <w:rFonts w:ascii="Times New Roman" w:hAnsi="Times New Roman" w:cs="Times New Roman"/>
          <w:sz w:val="28"/>
          <w:szCs w:val="28"/>
        </w:rPr>
        <w:t xml:space="preserve"> документов на стационарное предприятие общественного питания. В случае если заявление подается арендатором помещения, к документам прилагается копия договора аренды помещения, в котором оказываются услуги общественного питания;</w:t>
      </w:r>
    </w:p>
    <w:p w:rsidR="002336DC" w:rsidRPr="007A3FAA" w:rsidRDefault="002336DC" w:rsidP="002336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2) документы, подтверждающие регистрацию заявителя в качестве налогоплательщика:</w:t>
      </w:r>
    </w:p>
    <w:p w:rsidR="002336DC" w:rsidRPr="007A3FAA" w:rsidRDefault="002336DC" w:rsidP="002336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- для юридических лиц - выписка из Единого государственного реестра юридических лиц, устав, свидетельство о регистрации (ИНН, ОГРН);</w:t>
      </w:r>
    </w:p>
    <w:p w:rsidR="002336DC" w:rsidRPr="007A3FAA" w:rsidRDefault="002336DC" w:rsidP="002336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- для индивидуальных предпринимателей - свидетельство о регистрации (ИНН, ОГРН), выписка из Единого государственного реестра индивидуальных предпринимателей, копия всех страниц паспорта.</w:t>
      </w:r>
    </w:p>
    <w:p w:rsidR="002336DC" w:rsidRPr="007A3FAA" w:rsidRDefault="002336DC" w:rsidP="002336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712"/>
      <w:bookmarkEnd w:id="2"/>
      <w:r w:rsidRPr="007A3FAA">
        <w:rPr>
          <w:rFonts w:ascii="Times New Roman" w:hAnsi="Times New Roman" w:cs="Times New Roman"/>
          <w:sz w:val="28"/>
          <w:szCs w:val="28"/>
        </w:rPr>
        <w:t>1.8.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bCs/>
          <w:sz w:val="28"/>
          <w:szCs w:val="28"/>
        </w:rPr>
        <w:t>тдел муниципального имущества администрации муниципального образования Крыловский район</w:t>
      </w:r>
      <w:r w:rsidRPr="007A3FAA">
        <w:rPr>
          <w:rFonts w:ascii="Times New Roman" w:hAnsi="Times New Roman" w:cs="Times New Roman"/>
          <w:sz w:val="28"/>
          <w:szCs w:val="28"/>
        </w:rPr>
        <w:t xml:space="preserve"> в течение 10 календарных дней заключают договоры о размещении НТО (нестационарных площадок) с хозяйствующими субъектами без проведения процедур торгов в соответствии с </w:t>
      </w:r>
      <w:r w:rsidRPr="00732320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32320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32320">
        <w:rPr>
          <w:rFonts w:ascii="Times New Roman" w:hAnsi="Times New Roman" w:cs="Times New Roman"/>
          <w:sz w:val="28"/>
          <w:szCs w:val="28"/>
        </w:rPr>
        <w:t xml:space="preserve"> от 29.07.1998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32320">
        <w:rPr>
          <w:rFonts w:ascii="Times New Roman" w:hAnsi="Times New Roman" w:cs="Times New Roman"/>
          <w:sz w:val="28"/>
          <w:szCs w:val="28"/>
        </w:rPr>
        <w:t xml:space="preserve"> 135-ФЗ "Об оценочной деятельности в Российской Федерации</w:t>
      </w:r>
      <w:r w:rsidRPr="00F46484">
        <w:rPr>
          <w:rFonts w:ascii="Times New Roman" w:hAnsi="Times New Roman" w:cs="Times New Roman"/>
          <w:sz w:val="28"/>
          <w:szCs w:val="28"/>
        </w:rPr>
        <w:t>"</w:t>
      </w:r>
    </w:p>
    <w:p w:rsidR="002336DC" w:rsidRPr="007A3FAA" w:rsidRDefault="002336DC" w:rsidP="002336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727"/>
      <w:bookmarkEnd w:id="3"/>
      <w:r w:rsidRPr="007A3FAA">
        <w:rPr>
          <w:rFonts w:ascii="Times New Roman" w:hAnsi="Times New Roman" w:cs="Times New Roman"/>
          <w:sz w:val="28"/>
          <w:szCs w:val="28"/>
        </w:rPr>
        <w:t>1.9. Основаниями для исключения нестационарной площадки из Схемы являются:</w:t>
      </w:r>
    </w:p>
    <w:p w:rsidR="002336DC" w:rsidRPr="007A3FAA" w:rsidRDefault="002336DC" w:rsidP="002336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1) изменение градостроительной ситуации, препятствующее размещению нестационарной площадки согласно требованиям, установленным настоящим Постановлением;</w:t>
      </w:r>
    </w:p>
    <w:p w:rsidR="002336DC" w:rsidRPr="007A3FAA" w:rsidRDefault="002336DC" w:rsidP="002336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2) создание нестационарной площадкой препятствий при осуществлении работ по строительству или длительному (более одного года) ремонту объектов дорожно-транспортной, инженерной инфраструктур, реконструкции или ремонту зданий, строений, в которых размещено стационарное предприятие общественного питания;</w:t>
      </w:r>
    </w:p>
    <w:p w:rsidR="002336DC" w:rsidRPr="007A3FAA" w:rsidRDefault="002336DC" w:rsidP="002336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3) отказ хозяйствующего субъекта от размещения нестационарной площадки при стационарном предприятии общественного питания или прекращение деятельности хозяйствующего субъекта по оказанию услуг общественного питания на стационарном предприятии общественного питания;</w:t>
      </w:r>
    </w:p>
    <w:p w:rsidR="002336DC" w:rsidRPr="007A3FAA" w:rsidRDefault="002336DC" w:rsidP="002336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4) несоответствие нестационарной площадки эскизу, градостроительным, строительным, архитектурным, пожарным, санитарным, экологическим требованиям законодательства Российской Федерации;</w:t>
      </w:r>
    </w:p>
    <w:p w:rsidR="002336DC" w:rsidRPr="007A3FAA" w:rsidRDefault="002336DC" w:rsidP="002336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5) наличие акта в отношении объекта недвижимости, в котором расположено стационарное предприятие общественного питания, о подтверждении факта наличия незаконно размещенного объекта недвижимости и (или) акта о подтверждении факта незаконного (нецелевого) использования земельного участка (при отсутствии вступившего в законную силу решения суда, подтверждающего факт наличия незаконно размещенного объекта недвижимости и (или) факт незаконного (нецелевого) использования земельного участка).</w:t>
      </w:r>
    </w:p>
    <w:p w:rsidR="002336DC" w:rsidRPr="007A3FAA" w:rsidRDefault="002336DC" w:rsidP="002336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1.10. В случае выявления одного из оснований, установленных </w:t>
      </w:r>
      <w:hyperlink w:anchor="Par727" w:tooltip="1.15. Основаниями для исключения нестационарной площадки из Схемы являются:" w:history="1">
        <w:r w:rsidRPr="007A3FAA">
          <w:rPr>
            <w:rFonts w:ascii="Times New Roman" w:hAnsi="Times New Roman" w:cs="Times New Roman"/>
            <w:sz w:val="28"/>
            <w:szCs w:val="28"/>
          </w:rPr>
          <w:t>пунктом 1.9</w:t>
        </w:r>
      </w:hyperlink>
      <w:r w:rsidRPr="007A3FA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отдел муниципального имущества администрации муниципального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образования Крыловский район</w:t>
      </w:r>
      <w:r w:rsidRPr="007A3FAA">
        <w:rPr>
          <w:rFonts w:ascii="Times New Roman" w:hAnsi="Times New Roman" w:cs="Times New Roman"/>
          <w:sz w:val="28"/>
          <w:szCs w:val="28"/>
        </w:rPr>
        <w:t xml:space="preserve"> не позднее чем за один месяц уведомляют хозяйствующий субъект, осуществляющий деятельность в стационарном предприятии общественного питания об устранении выявленных нарушений.</w:t>
      </w:r>
    </w:p>
    <w:p w:rsidR="002336DC" w:rsidRPr="007A3FAA" w:rsidRDefault="002336DC" w:rsidP="002336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36DC" w:rsidRPr="007A3FAA" w:rsidRDefault="002336DC" w:rsidP="002336D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2. Требования к размещению нестационарных площадок</w:t>
      </w:r>
    </w:p>
    <w:p w:rsidR="002336DC" w:rsidRPr="007A3FAA" w:rsidRDefault="002336DC" w:rsidP="002336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(выносных столов) при стационарных предприятиях</w:t>
      </w:r>
    </w:p>
    <w:p w:rsidR="002336DC" w:rsidRPr="007A3FAA" w:rsidRDefault="002336DC" w:rsidP="002336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общественного питания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2.1. Размещение нестационарных площадок производится в соответствии с эскизом нестационарной площадки и характеристиками, установленными Схемой, в границах места размещения, установленного генеральным планом территории в соответствии с </w:t>
      </w:r>
      <w:hyperlink w:anchor="Par712" w:tooltip="1.8. Администрации внутригородских районов в порядке, определенном разделом 4 приложения N 1 к настоящему Постановлению, направляют сформированный проект Схемы в части размещения нестационарных площадок с приложением копий заявлений юридических лиц, индивидуал" w:history="1">
        <w:r w:rsidRPr="007A3FAA">
          <w:rPr>
            <w:rFonts w:ascii="Times New Roman" w:hAnsi="Times New Roman" w:cs="Times New Roman"/>
            <w:sz w:val="28"/>
            <w:szCs w:val="28"/>
          </w:rPr>
          <w:t>пунктом 1.6</w:t>
        </w:r>
      </w:hyperlink>
      <w:r w:rsidRPr="007A3FAA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Размещение нестационарных площадок должно соответствовать градостроительным, строительным, архитектурным, пожарным, санитарным, экологическим требованиям законодательства Российской Федерации, а также Правилам благоустройства и санитарного содержания территорий сельских поселений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2.2. Период функционирования нестационарных площадок устанавливается в Схеме для каждого места размещения НТО с учетом следующих особенностей: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1) для мест размещения сезонных нестационарных площадок период функционирования устанавливается с 1 апреля по 1 ноября;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2) для иных нестационарных площадок период функционирования устанавливается круглогодично, в течение срока действия договора о размещении НТО на земельном участке, находящемся в муниципальной собственности либо государственная собственность на который не разграничена.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2.3. Хозяйствующий субъект, осуществляющий деятельность на стационарном предприятии общественного питания, выполняет: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1) монтаж сезонной нестационарной площадки - не ранее 15 марта;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2) демонтаж сезонной нестационарной площадки - не позднее 15 ноября.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В случае прекращения деятельности по оказанию услуг общественного питания на стационарном предприятии общественного питания демонтаж нестационарной площадки осуществляется не позднее 7 календарных дней с даты прекращения деятельности стационарного предприятия общественного питания.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При выполнении демонтажа нестационарной площадки хозяйствующим субъектом, осуществляющим деятельность на стационарном предприятии общественного питания, обеспечивается проведение восстановления нарушенного благоустройства в связи с размещением данной нестационарной площадки.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2.4. Нестационарные площадки должны непосредственно примыкать к стационарному предприятию общественного питания или отстоять на расстоянии не более 4 метров от стационарного предприятия питания, при этом границы места размещения нестационарной площадки не должны нарушать права собственников и пользователей соседних помещений, зданий, строений, сооружений.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Размещение нестационарной площадки на существующих внешних </w:t>
      </w:r>
      <w:r w:rsidRPr="007A3FAA">
        <w:rPr>
          <w:rFonts w:ascii="Times New Roman" w:hAnsi="Times New Roman" w:cs="Times New Roman"/>
          <w:sz w:val="28"/>
          <w:szCs w:val="28"/>
        </w:rPr>
        <w:lastRenderedPageBreak/>
        <w:t>поверхностях здания, строения, сооружения, в котором осуществляется деятельность по оказанию услуг общественного питания предприятием общественного питания, допускается только при условии наличия у данного предприятия общественного питания прямого доступа (выхода) на эксплуатируемые стилобаты, террасы, а также иные открытые площадки, внешние поверхности, на которых планируется размещение нестационарной площадки.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2.5. Не допускается размещение сезонных кафе: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1) за пределами границ, установленных Схемой;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2) в арках зданий, на газонах, цветниках, детских и спортивных площадках, площадках для отдыха, дощатых и других настилах над озелененными грунтовыми поверхностями;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3) на земельных участках при стационарных предприятиях общественного питания, расположенных выше первых этажей нежилых зданий и не имеющих отдельного входа;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4) на остановочных пунктах городского пассажирского транспорта.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2.6. При необходимости выполнения ремонтных, профилактических и других работ на инженерных сетях, коммуникациях и иных объектах городской инфраструктуры, во время выполнения которых невозможно функционирование нестационарной площадки, администрация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sz w:val="28"/>
          <w:szCs w:val="28"/>
        </w:rPr>
        <w:t xml:space="preserve"> район за 10 календарных дней до начала работ уведомля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A3FAA">
        <w:rPr>
          <w:rFonts w:ascii="Times New Roman" w:hAnsi="Times New Roman" w:cs="Times New Roman"/>
          <w:sz w:val="28"/>
          <w:szCs w:val="28"/>
        </w:rPr>
        <w:t>т хозяйствующий субъект, осуществляющий деятельность на стационарном предприятии общественного питания, о необходимости демонтажа конструкций нестационарной площадки (полностью либо частично) с указанием дат начала и окончания соответствующих работ.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2.7. При необходимости проведения аварийных работ уведомление производится незамедлительно.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2.8. Хозяйствующий субъект, осуществляющий деятельность на стационарном предприятии общественного питания, обязан обеспечить возможность проведения соответствующих работ в указанный администрацией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sz w:val="28"/>
          <w:szCs w:val="28"/>
        </w:rPr>
        <w:t xml:space="preserve"> район период времени.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2.9. Демонтаж незаконно размещенной нестационарной площадки осуществляется администрацией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sz w:val="28"/>
          <w:szCs w:val="28"/>
        </w:rPr>
        <w:t xml:space="preserve"> район в соответствии с порядком выявления и демонтажа нестационарных объектов, незаконно размещенных на территории муниципального </w:t>
      </w:r>
      <w:r>
        <w:rPr>
          <w:rFonts w:ascii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sz w:val="28"/>
          <w:szCs w:val="28"/>
        </w:rPr>
        <w:t xml:space="preserve"> район, утвержденным муниципальным правовым актом.</w:t>
      </w:r>
    </w:p>
    <w:p w:rsidR="002336DC" w:rsidRPr="007A3FAA" w:rsidRDefault="002336DC" w:rsidP="002336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336DC" w:rsidRPr="007A3FAA" w:rsidRDefault="002336DC" w:rsidP="002336D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3. Требования к обустройству нестационарных площадок</w:t>
      </w:r>
    </w:p>
    <w:p w:rsidR="002336DC" w:rsidRPr="007A3FAA" w:rsidRDefault="002336DC" w:rsidP="002336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при стационарных предприятиях общественного питания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3.1. При обустройстве нестационарных площадок могут использоваться как элементы оборудования, так и сборно-разборные (легковозводимые) конструкции.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3.2. Элементами оборудования нестационарных площадок являются: зонты, мебель, маркизы, декоративные ограждения, осветительные и обогревательные приборы, элементы вертикального озеленения, цветочницы, торгово-технологическое оборудование.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lastRenderedPageBreak/>
        <w:t>3.3. Элементами сборно-разборных (легковозводимых) конструкций являются: навесы, стойки-опоры, настилы, ограждающие конструкции в виде декоративных панелей, монтируемых между стойками-опорами.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3.4. Обустройство нестационарных площадок сборно-разборными (легковозводимыми) конструкциями не допускается в следующих случаях: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1) конструкции не учитывают существующие архитектурные элементы декора здания, строения, сооружения: частично или полностью перекрывают архитектурные элементы здания, строения, сооружения, проходят по оконным и/или дверным проемам здания, строения, сооружения, элементы и способ крепления разрушают архитектурные элементы здания, строения, сооружения;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2) отсутствуют элементы для беспрепятственного доступа маломобильных групп населения (пандусы, поручни, специальные тактильные и сигнальные маркировки);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3) нарушается существующая система водоотведения (водослива) здания.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3.5. Опорные конструкции маркиз на фасаде здания, строения не должны размещаться за пределами помещения, занимаемого стационарным предприятием общественного питания.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3.6. Высота зонтов не должна превышать высоту первого этажа здания, строения, занимаемого стационарным предприятием общественного питания.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3.7. Декоративное ограждение не должно превышать в высоту 90 см и не должно быть стационарным на период использования (должно легко демонтироваться).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3.8. Декоративные панели не должны превышать в высоту 90 см от нулевой отметки пола (настила).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3.9. При оборудовании нестационарных площадок не допускается: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1) использование кирпича, строительных блоков и плит;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2) заглубление конструкций, оборудования и ограждения;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3) прокладка подземных инженерных коммуникаций и проведение строительно-монтажных работ капитального характера;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4) заполнение пространства между элементами конструкций при помощи оконных и дверных блоков (рамное остекление), сплошных металлических панелей, </w:t>
      </w:r>
      <w:proofErr w:type="spellStart"/>
      <w:r w:rsidRPr="007A3FAA">
        <w:rPr>
          <w:rFonts w:ascii="Times New Roman" w:hAnsi="Times New Roman" w:cs="Times New Roman"/>
          <w:sz w:val="28"/>
          <w:szCs w:val="28"/>
        </w:rPr>
        <w:t>сайдинг</w:t>
      </w:r>
      <w:proofErr w:type="spellEnd"/>
      <w:r w:rsidRPr="007A3FAA">
        <w:rPr>
          <w:rFonts w:ascii="Times New Roman" w:hAnsi="Times New Roman" w:cs="Times New Roman"/>
          <w:sz w:val="28"/>
          <w:szCs w:val="28"/>
        </w:rPr>
        <w:t>-панелей и однослойного стекла;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5) использование для облицовки конструкции кафе и навеса полиэтиленового пленочного покрытия, черепицы, </w:t>
      </w:r>
      <w:proofErr w:type="spellStart"/>
      <w:r w:rsidRPr="007A3FAA">
        <w:rPr>
          <w:rFonts w:ascii="Times New Roman" w:hAnsi="Times New Roman" w:cs="Times New Roman"/>
          <w:sz w:val="28"/>
          <w:szCs w:val="28"/>
        </w:rPr>
        <w:t>металлочерепицы</w:t>
      </w:r>
      <w:proofErr w:type="spellEnd"/>
      <w:r w:rsidRPr="007A3FAA">
        <w:rPr>
          <w:rFonts w:ascii="Times New Roman" w:hAnsi="Times New Roman" w:cs="Times New Roman"/>
          <w:sz w:val="28"/>
          <w:szCs w:val="28"/>
        </w:rPr>
        <w:t>, металла, а также рубероида, асбестоцементных плит.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3.10. В случае размещения нескольких нестационарных площадок при стационарных предприятиях общественного питания, принадлежащих разным хозяйствующим субъектам и расположенных в одном здании, строении, сооружении, конструкции нестационарных площадок должны быть выполнены в единой архитектурно-художественной стилистике (единые материалы конструкции, близкая цветовая гамма). Высота ограждений и высота элементов креплений навесов должны находиться на одном уровне.</w:t>
      </w:r>
    </w:p>
    <w:p w:rsidR="002336DC" w:rsidRPr="007A3FAA" w:rsidRDefault="002336DC" w:rsidP="002336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336DC" w:rsidRPr="007A3FAA" w:rsidRDefault="002336DC" w:rsidP="002336D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4. Требования к эксплуатации нестационарных площадок</w:t>
      </w:r>
    </w:p>
    <w:p w:rsidR="002336DC" w:rsidRPr="007A3FAA" w:rsidRDefault="002336DC" w:rsidP="002336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при стационарных предприятиях общественного питания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4.1. Не допускается использование оборудования, эксплуатация которого </w:t>
      </w:r>
      <w:r w:rsidRPr="007A3FAA">
        <w:rPr>
          <w:rFonts w:ascii="Times New Roman" w:hAnsi="Times New Roman" w:cs="Times New Roman"/>
          <w:sz w:val="28"/>
          <w:szCs w:val="28"/>
        </w:rPr>
        <w:lastRenderedPageBreak/>
        <w:t>связана с выделением острых запахов (шашлычного, чебуречного и других), в случае размещения нестационарных площадок при стационарном предприятии общественного питания, расположенном во встроенных и встроенно-пристроенных помещениях жилых зданий.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4.2. Не допускаются использование звуковоспроизводящих устройств и устройств звукоусиления, игра на музыкальных инструментах, пение, а также иные действия, нарушающие покой граждан и тишину, в ночное время с 23 часов до 7 часов.</w:t>
      </w:r>
    </w:p>
    <w:p w:rsidR="002336DC" w:rsidRPr="007A3FAA" w:rsidRDefault="002336DC" w:rsidP="002336D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4.3. Не допускается использование осветительных приборов вблизи окон жилых помещений в случае прямого попадания на окна световых лучей.</w:t>
      </w:r>
    </w:p>
    <w:p w:rsidR="002B2D58" w:rsidRDefault="002B2D58" w:rsidP="002B2D58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C04CFF" w:rsidRDefault="00C04CFF" w:rsidP="002B2D58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C04CFF" w:rsidRDefault="00C04CFF" w:rsidP="002B2D58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C04CFF" w:rsidRPr="00C04CFF" w:rsidRDefault="00C04CFF" w:rsidP="00C04C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>Начальник отдела муниципального</w:t>
      </w:r>
    </w:p>
    <w:p w:rsidR="00C04CFF" w:rsidRPr="00C04CFF" w:rsidRDefault="00C04CFF" w:rsidP="00C04C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>имущества администрации</w:t>
      </w:r>
    </w:p>
    <w:p w:rsidR="00C04CFF" w:rsidRPr="00C04CFF" w:rsidRDefault="00C04CFF" w:rsidP="00C04C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B2D58" w:rsidRPr="00C04CFF" w:rsidRDefault="00C04CFF" w:rsidP="00C04C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 xml:space="preserve">Крыловский район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C02E2">
        <w:rPr>
          <w:rFonts w:ascii="Times New Roman" w:hAnsi="Times New Roman" w:cs="Times New Roman"/>
          <w:sz w:val="28"/>
          <w:szCs w:val="28"/>
        </w:rPr>
        <w:t xml:space="preserve">                   А.Г. Ивахненко</w:t>
      </w:r>
    </w:p>
    <w:p w:rsidR="002B2D58" w:rsidRDefault="002B2D58" w:rsidP="002B2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2D58" w:rsidSect="00651556">
      <w:headerReference w:type="default" r:id="rId7"/>
      <w:pgSz w:w="11906" w:h="16838"/>
      <w:pgMar w:top="1134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7AE" w:rsidRDefault="002447AE" w:rsidP="00651556">
      <w:pPr>
        <w:spacing w:after="0" w:line="240" w:lineRule="auto"/>
      </w:pPr>
      <w:r>
        <w:separator/>
      </w:r>
    </w:p>
  </w:endnote>
  <w:endnote w:type="continuationSeparator" w:id="0">
    <w:p w:rsidR="002447AE" w:rsidRDefault="002447AE" w:rsidP="00651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7AE" w:rsidRDefault="002447AE" w:rsidP="00651556">
      <w:pPr>
        <w:spacing w:after="0" w:line="240" w:lineRule="auto"/>
      </w:pPr>
      <w:r>
        <w:separator/>
      </w:r>
    </w:p>
  </w:footnote>
  <w:footnote w:type="continuationSeparator" w:id="0">
    <w:p w:rsidR="002447AE" w:rsidRDefault="002447AE" w:rsidP="00651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0951309"/>
      <w:docPartObj>
        <w:docPartGallery w:val="Page Numbers (Top of Page)"/>
        <w:docPartUnique/>
      </w:docPartObj>
    </w:sdtPr>
    <w:sdtEndPr/>
    <w:sdtContent>
      <w:p w:rsidR="00651556" w:rsidRDefault="0065155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6DC">
          <w:rPr>
            <w:noProof/>
          </w:rPr>
          <w:t>6</w:t>
        </w:r>
        <w:r>
          <w:fldChar w:fldCharType="end"/>
        </w:r>
      </w:p>
    </w:sdtContent>
  </w:sdt>
  <w:p w:rsidR="00651556" w:rsidRDefault="0065155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24066"/>
    <w:multiLevelType w:val="multilevel"/>
    <w:tmpl w:val="353A3F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55695776"/>
    <w:multiLevelType w:val="multilevel"/>
    <w:tmpl w:val="353A3F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77A67E38"/>
    <w:multiLevelType w:val="hybridMultilevel"/>
    <w:tmpl w:val="3CBC607A"/>
    <w:lvl w:ilvl="0" w:tplc="00C0298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B57"/>
    <w:rsid w:val="000473F1"/>
    <w:rsid w:val="000B5872"/>
    <w:rsid w:val="00120605"/>
    <w:rsid w:val="001414B0"/>
    <w:rsid w:val="00155D0A"/>
    <w:rsid w:val="001774FF"/>
    <w:rsid w:val="002336DC"/>
    <w:rsid w:val="002447AE"/>
    <w:rsid w:val="002B2D58"/>
    <w:rsid w:val="00306A0B"/>
    <w:rsid w:val="00421608"/>
    <w:rsid w:val="004379A6"/>
    <w:rsid w:val="004C02E2"/>
    <w:rsid w:val="005222FB"/>
    <w:rsid w:val="00636AEE"/>
    <w:rsid w:val="00651556"/>
    <w:rsid w:val="006B52B8"/>
    <w:rsid w:val="006C00FF"/>
    <w:rsid w:val="006D3C78"/>
    <w:rsid w:val="0073572C"/>
    <w:rsid w:val="00781B57"/>
    <w:rsid w:val="007F4050"/>
    <w:rsid w:val="008C774B"/>
    <w:rsid w:val="008D2DBD"/>
    <w:rsid w:val="0091120C"/>
    <w:rsid w:val="00972E06"/>
    <w:rsid w:val="0097698E"/>
    <w:rsid w:val="009C4799"/>
    <w:rsid w:val="009D64B5"/>
    <w:rsid w:val="00A35E8F"/>
    <w:rsid w:val="00A44A70"/>
    <w:rsid w:val="00A50175"/>
    <w:rsid w:val="00A63807"/>
    <w:rsid w:val="00B332BE"/>
    <w:rsid w:val="00B40B87"/>
    <w:rsid w:val="00B74A34"/>
    <w:rsid w:val="00B803F2"/>
    <w:rsid w:val="00C04CFF"/>
    <w:rsid w:val="00C14884"/>
    <w:rsid w:val="00C309CB"/>
    <w:rsid w:val="00C3658E"/>
    <w:rsid w:val="00C62E9F"/>
    <w:rsid w:val="00D11DD8"/>
    <w:rsid w:val="00D56671"/>
    <w:rsid w:val="00D60D6A"/>
    <w:rsid w:val="00DE693E"/>
    <w:rsid w:val="00E73CF7"/>
    <w:rsid w:val="00E96D5F"/>
    <w:rsid w:val="00F33024"/>
    <w:rsid w:val="00F33F96"/>
    <w:rsid w:val="00F356AF"/>
    <w:rsid w:val="00F516FC"/>
    <w:rsid w:val="00F74111"/>
    <w:rsid w:val="00F83CD4"/>
    <w:rsid w:val="00FA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CDD061-2E45-4B60-A540-E2BACBA98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D2DB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D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2D5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B2D5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8D2DB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8D2DBD"/>
    <w:rPr>
      <w:b/>
      <w:color w:val="26282F"/>
    </w:rPr>
  </w:style>
  <w:style w:type="character" w:customStyle="1" w:styleId="a7">
    <w:name w:val="Гипертекстовая ссылка"/>
    <w:uiPriority w:val="99"/>
    <w:rsid w:val="008D2DBD"/>
    <w:rPr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8D2D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8D2DBD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D2DBD"/>
    <w:pPr>
      <w:widowControl w:val="0"/>
      <w:shd w:val="clear" w:color="auto" w:fill="FFFFFF"/>
      <w:spacing w:before="1020" w:after="60" w:line="240" w:lineRule="atLeast"/>
      <w:jc w:val="both"/>
    </w:pPr>
    <w:rPr>
      <w:rFonts w:ascii="Times New Roman" w:hAnsi="Times New Roman"/>
      <w:sz w:val="28"/>
    </w:rPr>
  </w:style>
  <w:style w:type="paragraph" w:customStyle="1" w:styleId="a9">
    <w:name w:val="Прижатый влево"/>
    <w:basedOn w:val="a"/>
    <w:next w:val="a"/>
    <w:uiPriority w:val="99"/>
    <w:rsid w:val="009112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651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51556"/>
  </w:style>
  <w:style w:type="paragraph" w:styleId="ac">
    <w:name w:val="footer"/>
    <w:basedOn w:val="a"/>
    <w:link w:val="ad"/>
    <w:uiPriority w:val="99"/>
    <w:unhideWhenUsed/>
    <w:rsid w:val="00651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1556"/>
  </w:style>
  <w:style w:type="paragraph" w:customStyle="1" w:styleId="ConsPlusTitle">
    <w:name w:val="ConsPlusTitle"/>
    <w:uiPriority w:val="99"/>
    <w:rsid w:val="004C0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4C0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14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2144</Words>
  <Characters>12225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Хлыстун А.В.</dc:creator>
  <cp:lastModifiedBy>ОМИ</cp:lastModifiedBy>
  <cp:revision>2</cp:revision>
  <dcterms:created xsi:type="dcterms:W3CDTF">2024-06-17T12:19:00Z</dcterms:created>
  <dcterms:modified xsi:type="dcterms:W3CDTF">2024-06-17T12:19:00Z</dcterms:modified>
</cp:coreProperties>
</file>