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682CC7" w:rsidRPr="0049119E" w:rsidTr="00682CC7">
        <w:trPr>
          <w:trHeight w:val="1978"/>
        </w:trPr>
        <w:tc>
          <w:tcPr>
            <w:tcW w:w="4361" w:type="dxa"/>
            <w:shd w:val="clear" w:color="auto" w:fill="auto"/>
          </w:tcPr>
          <w:p w:rsidR="00682CC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82CC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82CC7" w:rsidRPr="001F3C8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12</w:t>
            </w:r>
          </w:p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BB30D5" w:rsidRPr="00EC05E5" w:rsidRDefault="00BB30D5" w:rsidP="00BB30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приказом муниципального бюджетного учреждения культуры «Районный дом культуры и спорта» муниципального образования   </w:t>
            </w:r>
            <w:proofErr w:type="spellStart"/>
            <w:r w:rsidRPr="00EC05E5">
              <w:rPr>
                <w:rFonts w:ascii="Times New Roman" w:eastAsia="Calibri" w:hAnsi="Times New Roman"/>
                <w:sz w:val="28"/>
                <w:szCs w:val="28"/>
              </w:rPr>
              <w:t>Староминский</w:t>
            </w:r>
            <w:proofErr w:type="spellEnd"/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682CC7" w:rsidRPr="001F3C87" w:rsidRDefault="00BB30D5" w:rsidP="00BB30D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5E5">
              <w:rPr>
                <w:rFonts w:ascii="Times New Roman" w:eastAsia="Calibri" w:hAnsi="Times New Roman"/>
                <w:sz w:val="28"/>
                <w:szCs w:val="28"/>
              </w:rPr>
              <w:t>от 26 мая  2023 года  №201</w:t>
            </w:r>
          </w:p>
        </w:tc>
      </w:tr>
    </w:tbl>
    <w:p w:rsidR="00682CC7" w:rsidRDefault="00682CC7" w:rsidP="00682CC7">
      <w:pPr>
        <w:spacing w:after="0"/>
        <w:jc w:val="center"/>
        <w:rPr>
          <w:rFonts w:ascii="Haettenschweiler" w:hAnsi="Haettenschweiler"/>
          <w:sz w:val="28"/>
          <w:szCs w:val="28"/>
        </w:rPr>
      </w:pPr>
    </w:p>
    <w:p w:rsidR="00682CC7" w:rsidRDefault="00682CC7" w:rsidP="00682CC7">
      <w:pPr>
        <w:spacing w:after="0"/>
        <w:jc w:val="center"/>
        <w:rPr>
          <w:rFonts w:ascii="Haettenschweiler" w:hAnsi="Haettenschweiler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C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C7">
        <w:rPr>
          <w:rFonts w:ascii="Times New Roman" w:hAnsi="Times New Roman" w:cs="Times New Roman"/>
          <w:b/>
          <w:sz w:val="28"/>
          <w:szCs w:val="28"/>
        </w:rPr>
        <w:t>по рассмотрению обращений субъектов персональных</w:t>
      </w:r>
    </w:p>
    <w:p w:rsidR="00682CC7" w:rsidRDefault="00682CC7" w:rsidP="00682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C7">
        <w:rPr>
          <w:rFonts w:ascii="Times New Roman" w:hAnsi="Times New Roman" w:cs="Times New Roman"/>
          <w:b/>
          <w:sz w:val="28"/>
          <w:szCs w:val="28"/>
        </w:rPr>
        <w:t>данных и их законных представителей</w:t>
      </w:r>
    </w:p>
    <w:p w:rsidR="00682CC7" w:rsidRDefault="00682CC7" w:rsidP="00682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Настоящая «Инструкция по рассмотрению обращений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2CC7">
        <w:rPr>
          <w:rFonts w:ascii="Times New Roman" w:hAnsi="Times New Roman" w:cs="Times New Roman"/>
          <w:sz w:val="28"/>
          <w:szCs w:val="28"/>
        </w:rPr>
        <w:t>и их представителей» (далее — Инструкция) определяет порядок обработки поступающих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0D5" w:rsidRPr="00EC05E5">
        <w:rPr>
          <w:rFonts w:ascii="Times New Roman" w:eastAsia="Calibri" w:hAnsi="Times New Roman"/>
          <w:sz w:val="28"/>
          <w:szCs w:val="28"/>
        </w:rPr>
        <w:t>муниципально</w:t>
      </w:r>
      <w:r w:rsidR="00BB30D5">
        <w:rPr>
          <w:rFonts w:ascii="Times New Roman" w:eastAsia="Calibri" w:hAnsi="Times New Roman"/>
          <w:sz w:val="28"/>
          <w:szCs w:val="28"/>
        </w:rPr>
        <w:t>е</w:t>
      </w:r>
      <w:r w:rsidR="00BB30D5" w:rsidRPr="00EC05E5">
        <w:rPr>
          <w:rFonts w:ascii="Times New Roman" w:eastAsia="Calibri" w:hAnsi="Times New Roman"/>
          <w:sz w:val="28"/>
          <w:szCs w:val="28"/>
        </w:rPr>
        <w:t xml:space="preserve"> бюджетно</w:t>
      </w:r>
      <w:r w:rsidR="00BB30D5">
        <w:rPr>
          <w:rFonts w:ascii="Times New Roman" w:eastAsia="Calibri" w:hAnsi="Times New Roman"/>
          <w:sz w:val="28"/>
          <w:szCs w:val="28"/>
        </w:rPr>
        <w:t>е</w:t>
      </w:r>
      <w:r w:rsidR="00BB30D5" w:rsidRPr="00EC05E5">
        <w:rPr>
          <w:rFonts w:ascii="Times New Roman" w:eastAsia="Calibri" w:hAnsi="Times New Roman"/>
          <w:sz w:val="28"/>
          <w:szCs w:val="28"/>
        </w:rPr>
        <w:t xml:space="preserve"> учреждени</w:t>
      </w:r>
      <w:r w:rsidR="00BB30D5">
        <w:rPr>
          <w:rFonts w:ascii="Times New Roman" w:eastAsia="Calibri" w:hAnsi="Times New Roman"/>
          <w:sz w:val="28"/>
          <w:szCs w:val="28"/>
        </w:rPr>
        <w:t>е</w:t>
      </w:r>
      <w:r w:rsidR="00BB30D5" w:rsidRPr="00EC05E5">
        <w:rPr>
          <w:rFonts w:ascii="Times New Roman" w:eastAsia="Calibri" w:hAnsi="Times New Roman"/>
          <w:sz w:val="28"/>
          <w:szCs w:val="28"/>
        </w:rPr>
        <w:t xml:space="preserve"> культуры «Районный дом культуры и спорта»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682CC7">
        <w:rPr>
          <w:rFonts w:ascii="Times New Roman" w:hAnsi="Times New Roman" w:cs="Times New Roman"/>
          <w:sz w:val="28"/>
          <w:szCs w:val="28"/>
        </w:rPr>
        <w:t xml:space="preserve"> обращений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 (далее — Оператор) в соответствии с требованиями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закона от 27 июля 2006 г. № 152-ФЗ «О персональных данных» (далее — ФЗ «О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данных»), Постановления Правительства от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21 марта 2012 г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211 «Об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мер, направленных на обеспечение выполнения обязанностей,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Федеральным законом «О персональных данных» и принятыми в соответствии с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нормативными правовыми актами, операторами, являющимися государственными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муниципальными органами» и иными нормативными правовыми актами РФ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защиты персональных данных.</w:t>
      </w:r>
      <w:proofErr w:type="gramEnd"/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 xml:space="preserve">1.2. С Инструкцией знакомится под подпись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 xml:space="preserve"> за организацию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2. Права субъектов персональных данных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2.1. В соответствии с ч. 7 ст. 14 ФЗ «О персональных данных» субъект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имеет право на получение информации в доступной форме, касающейся обработки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данных, в том числе содержащей: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подтверждение факта обработки персональных данных Оператором;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правовые основания и цели обработки персональных данных;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способы обработки персональных данных, применяемые Оператором;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lastRenderedPageBreak/>
        <w:t>— сведения о лицах, которые имеют доступ к персональным данным или которым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быть предоставлен доступ на основании договора или федерального закона;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перечень обрабатываемых персональных данных субъекта и источник их получения;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сроки обработки персональных данных и сроки их хранения;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порядок осуществления субъектом персональных данных прав, предусмотренных 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данных»;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сведения о наличии трансграничной передачи;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—наименование или фамилию, имя, отчество и адрес лица, осуществляющего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 по поручению Оператора, если обработка поручена или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поручена такому лицу.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2.2. Право субъекта персональных данных на доступ к его персональным данным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быть ограничено в случае, если: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обработка персональных данных, в том числе полученных в результате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оперативно-розыскной, контрразведывательной и разведывательной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осуществляется в целях обороны страны, безопасности государства и охраны правопорядка;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CC7">
        <w:rPr>
          <w:rFonts w:ascii="Times New Roman" w:hAnsi="Times New Roman" w:cs="Times New Roman"/>
          <w:sz w:val="28"/>
          <w:szCs w:val="28"/>
        </w:rPr>
        <w:t>— обработка персональных данных осуществляется органами, осуществившими задержание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субъекта персональных данных по подозрению в совершении преступления,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предъявившими субъекту персональных данных обвинение по уголовному делу,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применившими к субъекту персональных данных меру пресечения до 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обвинения, за исключением предусмотренных уголовно-процессуальным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законодательством РФ случаев, если допускается ознакомление подозреваемого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обвиняемого с такими персональными данными;</w:t>
      </w:r>
      <w:proofErr w:type="gramEnd"/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доступ субъекта персональных данных к его персональным данным нарушает права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законные интересы третьих лиц;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в иных случаях, предусмотренных ч. 8 ст. 14 ФЗ «О персональных данных».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2.3. Субъект персональных данных вправе требовать от Оператора уточнения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данных, блокирования или их уничтожения в случае, если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данные являются неполными, устаревшими, неточными, незаконно полученными или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являются необходимыми для заявленной цели обработки.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2.4. Субъект персональных данных вправе принимать предусмотренные законом меры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защите своих прав.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2.5. Если сведения, указанные в пункте 2.1 Инструкции, были предоставлены субъекту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данных, то повторно субъект может обратиться не ранее чем через тридцать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дней после первоначального обращения. Если предоставленные сведения были неполными,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то субъект может обратиться повторно до истечения тридцати дней. Обращение должно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содержать обоснование направления повторного обращения.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3. Порядок работы с обращениями субъектов персональных данных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3.1. Оператор отвечает на обращения субъектов персональных данных или их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представителей в сроки установленные ФЗ «О персональных данных» (Приложение).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3.2. При поступлении обращения субъекта или его законного представителя,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 организацию обработки персональных данных регистрирует обращение в «Журнале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учёта обращений субъектов персональных данных и их законных представителей»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3.3. При поступлении обращения субъекта или его законного представителя, 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предоставляет информацию о персональных данных субъекта в течение тридцати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3.4. В случае отзыва субъектом персональных данных согласия на их обработку, она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быть продолжена при наличии оснований, указанных в п. 2—11 ч. 1 ст. 6, ч. 2 ст. 10 и ч. 2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11 ФЗ «О персональных данных».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3.5. В случае отказа в предоставлении информации субъекту персональных данных или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законному представителю, Оператор даёт в письменной форме мотивированный ответ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 xml:space="preserve">течение тридцати дней со дня обращения либо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3.6. При предоставлении субъектом или его законным представителем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подтверждающих, что персональные данные субъекта являются неполными, устаревшими,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недостоверными, незаконно полученными или не являются необходимыми для заявленной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цели обработки, Оператор вносит в них необходимые изменения, уничтожает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блокирует. О внесенных изменениях и предпринятых мерах Оператор уведомляет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 или его законного представителя и третьих лиц,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персональные данные субъекта были переданы (Приложение 4).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3.7. При отсутствии сведений, подтверждающих, что персональные данные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являются неполными, устаревшими, недостоверными, незаконно полученными или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являются необходимыми для заявленной цели обработки, Оператор отказывается вносить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изменения и даёт ответ субъекту персональных данных (Приложение 5).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3.8. Оператор сообщает в уполномоченный орган по защите прав субъектов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данных по его запросу информацию, необходимую для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 xml:space="preserve">указанного органа, в течение тридцати дней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 xml:space="preserve"> такого запроса 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6).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4.1. Ответственный за организацию обработки персональных данных несёт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за организацию приёма и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обращений субъектов персональных данных и их законных представителей.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682C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Look w:val="04A0"/>
      </w:tblPr>
      <w:tblGrid>
        <w:gridCol w:w="4361"/>
        <w:gridCol w:w="5210"/>
      </w:tblGrid>
      <w:tr w:rsidR="00682CC7" w:rsidRPr="0049119E" w:rsidTr="002F04D6">
        <w:trPr>
          <w:trHeight w:val="1978"/>
          <w:jc w:val="right"/>
        </w:trPr>
        <w:tc>
          <w:tcPr>
            <w:tcW w:w="4361" w:type="dxa"/>
            <w:shd w:val="clear" w:color="auto" w:fill="auto"/>
          </w:tcPr>
          <w:p w:rsidR="00682CC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82CC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82CC7" w:rsidRPr="001F3C8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682CC7" w:rsidRPr="00682CC7" w:rsidRDefault="00682CC7" w:rsidP="00682C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82CC7" w:rsidRPr="00682CC7" w:rsidRDefault="00682CC7" w:rsidP="00682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CC7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</w:t>
            </w:r>
            <w:r w:rsidRPr="00682CC7">
              <w:rPr>
                <w:rFonts w:ascii="Times New Roman" w:hAnsi="Times New Roman" w:cs="Times New Roman"/>
                <w:sz w:val="28"/>
                <w:szCs w:val="28"/>
              </w:rPr>
              <w:t>по рассмотрению обращений субъектов персональных</w:t>
            </w:r>
          </w:p>
          <w:p w:rsidR="00682CC7" w:rsidRPr="00682CC7" w:rsidRDefault="00682CC7" w:rsidP="00682C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CC7">
              <w:rPr>
                <w:rFonts w:ascii="Times New Roman" w:hAnsi="Times New Roman" w:cs="Times New Roman"/>
                <w:sz w:val="28"/>
                <w:szCs w:val="28"/>
              </w:rPr>
              <w:t>данных и их законных представителей</w:t>
            </w:r>
          </w:p>
          <w:p w:rsidR="00682CC7" w:rsidRPr="001F3C87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CC7" w:rsidRPr="002F04D6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D6">
        <w:rPr>
          <w:rFonts w:ascii="Times New Roman" w:hAnsi="Times New Roman" w:cs="Times New Roman"/>
          <w:b/>
          <w:sz w:val="28"/>
          <w:szCs w:val="28"/>
        </w:rPr>
        <w:t>Сводная таблица действий Оператора в ответ на обращения субъектов персональных данных,</w:t>
      </w:r>
    </w:p>
    <w:p w:rsidR="00682CC7" w:rsidRPr="002F04D6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D6">
        <w:rPr>
          <w:rFonts w:ascii="Times New Roman" w:hAnsi="Times New Roman" w:cs="Times New Roman"/>
          <w:b/>
          <w:sz w:val="28"/>
          <w:szCs w:val="28"/>
        </w:rPr>
        <w:t>их представителей и запросы Уполномоченного органа по защите прав субъектов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D6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:rsidR="002F04D6" w:rsidRDefault="002F04D6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6911"/>
        <w:gridCol w:w="4255"/>
        <w:gridCol w:w="3620"/>
      </w:tblGrid>
      <w:tr w:rsidR="00E852A3" w:rsidRPr="002B3CD2" w:rsidTr="00E852A3">
        <w:tc>
          <w:tcPr>
            <w:tcW w:w="2337" w:type="pct"/>
          </w:tcPr>
          <w:p w:rsidR="00E852A3" w:rsidRPr="002B3CD2" w:rsidRDefault="00E852A3" w:rsidP="002F04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Обращение, запрос 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E852A3" w:rsidRPr="002B3CD2" w:rsidTr="00E852A3">
        <w:trPr>
          <w:trHeight w:val="832"/>
        </w:trPr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Неправомерный доступ третьих лиц к ПД </w:t>
            </w: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Уведомить </w:t>
            </w:r>
            <w:proofErr w:type="spell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24 часов</w:t>
            </w: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доступа третьих лиц к ПД сотрудников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Отчитаться в </w:t>
            </w:r>
            <w:proofErr w:type="spellStart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итогах расследования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72 часов</w:t>
            </w: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о начале обработки   ПД </w:t>
            </w: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Уведомить </w:t>
            </w:r>
            <w:proofErr w:type="spell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</w:t>
            </w: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обработке ПД в случаях, если ПД:</w:t>
            </w:r>
          </w:p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включены в государственные информационные системы ПД по защите государства и общественного порядка;</w:t>
            </w:r>
            <w:r w:rsidRPr="002B3CD2">
              <w:rPr>
                <w:rFonts w:ascii="Times New Roman" w:hAnsi="Times New Roman" w:cs="Times New Roman"/>
                <w:sz w:val="24"/>
                <w:szCs w:val="24"/>
              </w:rPr>
              <w:br/>
              <w:t>– когда оператор обрабатывает ПД исключительно без использования средств автоматизации.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уведомлять </w:t>
            </w:r>
            <w:proofErr w:type="spellStart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запрос </w:t>
            </w:r>
            <w:proofErr w:type="spellStart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работе  с ПД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ответ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</w:t>
            </w: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если сведения из уведомления о начале обработки ПД изменились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Уведомить </w:t>
            </w:r>
            <w:proofErr w:type="spell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числа месяца, следующего за месяцем, когда произошли изменения</w:t>
            </w:r>
          </w:p>
        </w:tc>
      </w:tr>
      <w:tr w:rsidR="00E852A3" w:rsidRPr="002B3CD2" w:rsidTr="00E852A3">
        <w:tc>
          <w:tcPr>
            <w:tcW w:w="5000" w:type="pct"/>
            <w:gridSpan w:val="3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сотрудником или иным субъектом персональных данных</w:t>
            </w:r>
          </w:p>
        </w:tc>
      </w:tr>
      <w:tr w:rsidR="001C4BE0" w:rsidRPr="002B3CD2" w:rsidTr="00E852A3">
        <w:tc>
          <w:tcPr>
            <w:tcW w:w="2337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Наличие персональных данных</w:t>
            </w:r>
          </w:p>
        </w:tc>
        <w:tc>
          <w:tcPr>
            <w:tcW w:w="1439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Подтверждение обработки</w:t>
            </w:r>
          </w:p>
          <w:p w:rsidR="001C4BE0" w:rsidRPr="002B3CD2" w:rsidRDefault="001C4BE0" w:rsidP="001C4B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1224" w:type="pct"/>
            <w:vMerge w:val="restar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дней, с продлением на 5 рабочих дней*</w:t>
            </w: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*(Направление мотивированного уведомления с указанием </w:t>
            </w:r>
            <w:proofErr w:type="gramStart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причин продления срока предоставления </w:t>
            </w: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запрашиваемой информации</w:t>
            </w:r>
            <w:proofErr w:type="gramEnd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:rsidR="001C4BE0" w:rsidRPr="002B3CD2" w:rsidRDefault="001C4BE0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BE0" w:rsidRPr="002B3CD2" w:rsidTr="00E852A3">
        <w:tc>
          <w:tcPr>
            <w:tcW w:w="2337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Отказ от подтверждения</w:t>
            </w:r>
          </w:p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обработки персональных данных</w:t>
            </w:r>
          </w:p>
        </w:tc>
        <w:tc>
          <w:tcPr>
            <w:tcW w:w="1224" w:type="pct"/>
            <w:vMerge/>
          </w:tcPr>
          <w:p w:rsidR="001C4BE0" w:rsidRPr="002B3CD2" w:rsidRDefault="001C4BE0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ПД</w:t>
            </w:r>
          </w:p>
        </w:tc>
        <w:tc>
          <w:tcPr>
            <w:tcW w:w="1439" w:type="pct"/>
          </w:tcPr>
          <w:p w:rsidR="00E852A3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 внесенных изменениях</w:t>
            </w:r>
          </w:p>
        </w:tc>
        <w:tc>
          <w:tcPr>
            <w:tcW w:w="1224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7 рабочих дней со дня</w:t>
            </w:r>
          </w:p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уточняющих</w:t>
            </w:r>
            <w:proofErr w:type="gramEnd"/>
          </w:p>
          <w:p w:rsidR="00E852A3" w:rsidRPr="002B3CD2" w:rsidRDefault="001C4BE0" w:rsidP="001C4B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</w:tr>
      <w:tr w:rsidR="00B66FE4" w:rsidRPr="002B3CD2" w:rsidTr="00B8516E">
        <w:trPr>
          <w:trHeight w:val="4101"/>
        </w:trPr>
        <w:tc>
          <w:tcPr>
            <w:tcW w:w="2337" w:type="pct"/>
          </w:tcPr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персональными данными 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ПД: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1.Подтверждение обработки персональных данных, правовые</w:t>
            </w:r>
          </w:p>
          <w:p w:rsidR="00B66FE4" w:rsidRPr="002B3CD2" w:rsidRDefault="00B66FE4" w:rsidP="00EA7C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основания и цели такой обработки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2. Способы обработки ПД;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3.Сведения о лицах, которые имеют доступ к ПД;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4.Перечень обрабатываемых персональных данных и источник их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Получения;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5.Сроки обработки ПД, в том числе сроки их хранения;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6.Информация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осуществленной или о предполагаемой трансграничной передаче</w:t>
            </w:r>
          </w:p>
        </w:tc>
        <w:tc>
          <w:tcPr>
            <w:tcW w:w="1439" w:type="pct"/>
          </w:tcPr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информацию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персональным данным</w:t>
            </w:r>
          </w:p>
        </w:tc>
        <w:tc>
          <w:tcPr>
            <w:tcW w:w="1224" w:type="pct"/>
          </w:tcPr>
          <w:p w:rsidR="00B66FE4" w:rsidRPr="002B3CD2" w:rsidRDefault="00B66FE4" w:rsidP="00B66F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дней, с продлением на 5 рабочих дней*</w:t>
            </w:r>
          </w:p>
          <w:p w:rsidR="00B66FE4" w:rsidRPr="002B3CD2" w:rsidRDefault="00B66FE4" w:rsidP="00B66F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*(Направление мотивированного уведомления с указанием </w:t>
            </w:r>
            <w:proofErr w:type="gramStart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 продления срока предоставления запрашиваемой информации</w:t>
            </w:r>
            <w:proofErr w:type="gramEnd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:rsidR="00B66FE4" w:rsidRPr="002B3CD2" w:rsidRDefault="00B66FE4" w:rsidP="00B66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повторном запросе </w:t>
            </w: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ранее чем через тридцать дней после первоначального обращения</w:t>
            </w:r>
          </w:p>
        </w:tc>
      </w:tr>
      <w:tr w:rsidR="00EA7CB1" w:rsidRPr="002B3CD2" w:rsidTr="0075504F">
        <w:tc>
          <w:tcPr>
            <w:tcW w:w="2337" w:type="pct"/>
            <w:vAlign w:val="center"/>
          </w:tcPr>
          <w:p w:rsidR="00EA7CB1" w:rsidRPr="002B3CD2" w:rsidRDefault="00B66FE4" w:rsidP="00B6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разъяснение субъекту ПД </w:t>
            </w:r>
            <w:proofErr w:type="gramStart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автоматизированной обработки его персональных данных. </w:t>
            </w:r>
          </w:p>
        </w:tc>
        <w:tc>
          <w:tcPr>
            <w:tcW w:w="1439" w:type="pct"/>
          </w:tcPr>
          <w:p w:rsidR="00EA7CB1" w:rsidRPr="002B3CD2" w:rsidRDefault="00B66FE4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рассмотреть возражения</w:t>
            </w:r>
          </w:p>
        </w:tc>
        <w:tc>
          <w:tcPr>
            <w:tcW w:w="1224" w:type="pct"/>
            <w:vAlign w:val="center"/>
          </w:tcPr>
          <w:p w:rsidR="00EA7CB1" w:rsidRPr="002B3CD2" w:rsidRDefault="00B66FE4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E852A3" w:rsidRPr="002B3CD2" w:rsidTr="0075504F">
        <w:tc>
          <w:tcPr>
            <w:tcW w:w="2337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уведомления о намерении получить персональные данные у третьих лиц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ответ</w:t>
            </w:r>
          </w:p>
        </w:tc>
        <w:tc>
          <w:tcPr>
            <w:tcW w:w="1224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дополнение к </w:t>
            </w:r>
            <w:proofErr w:type="gramStart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прежнему</w:t>
            </w:r>
            <w:proofErr w:type="gramEnd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– категории ПД, которые будете запрашивать</w:t>
            </w:r>
          </w:p>
        </w:tc>
      </w:tr>
      <w:tr w:rsidR="00E852A3" w:rsidRPr="002B3CD2" w:rsidTr="0075504F">
        <w:tc>
          <w:tcPr>
            <w:tcW w:w="2337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Предоставлять биометрические данные сотрудником работодателю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вправе отказаться</w:t>
            </w:r>
          </w:p>
        </w:tc>
      </w:tr>
      <w:tr w:rsidR="00E852A3" w:rsidRPr="002B3CD2" w:rsidTr="0075504F">
        <w:tc>
          <w:tcPr>
            <w:tcW w:w="2337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 биометрические данные несовершеннолетних**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запрещено</w:t>
            </w:r>
          </w:p>
        </w:tc>
      </w:tr>
      <w:tr w:rsidR="00D97233" w:rsidRPr="002B3CD2" w:rsidTr="00E852A3">
        <w:tc>
          <w:tcPr>
            <w:tcW w:w="2337" w:type="pct"/>
            <w:vMerge w:val="restar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Отзыв согласия на обработку персональных  данных</w:t>
            </w: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Прекращение обработки и</w:t>
            </w:r>
          </w:p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уничтожение персональных данных</w:t>
            </w:r>
          </w:p>
        </w:tc>
        <w:tc>
          <w:tcPr>
            <w:tcW w:w="1224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 прекращении</w:t>
            </w:r>
          </w:p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уничтожении</w:t>
            </w:r>
            <w:proofErr w:type="gramEnd"/>
          </w:p>
          <w:p w:rsidR="00D97233" w:rsidRPr="002B3CD2" w:rsidRDefault="00D97233" w:rsidP="00D972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 30 дней</w:t>
            </w:r>
          </w:p>
        </w:tc>
      </w:tr>
      <w:tr w:rsidR="00D97233" w:rsidRPr="002B3CD2" w:rsidTr="00E852A3">
        <w:tc>
          <w:tcPr>
            <w:tcW w:w="2337" w:type="pct"/>
            <w:vMerge/>
          </w:tcPr>
          <w:p w:rsidR="00D97233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Отказ от прекращения обработки и уничтожения персональных данных</w:t>
            </w:r>
          </w:p>
        </w:tc>
        <w:tc>
          <w:tcPr>
            <w:tcW w:w="1224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прекращения обработки и уничтожения персональных данных 30 дней</w:t>
            </w:r>
          </w:p>
        </w:tc>
      </w:tr>
      <w:tr w:rsidR="00376352" w:rsidRPr="002B3CD2" w:rsidTr="00E852A3">
        <w:tc>
          <w:tcPr>
            <w:tcW w:w="2337" w:type="pct"/>
            <w:vMerge w:val="restar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Неправомерность действий с персональными данными субъекта</w:t>
            </w:r>
          </w:p>
        </w:tc>
        <w:tc>
          <w:tcPr>
            <w:tcW w:w="1439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устранении </w:t>
            </w:r>
            <w:r w:rsidRPr="002B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</w:t>
            </w:r>
          </w:p>
        </w:tc>
        <w:tc>
          <w:tcPr>
            <w:tcW w:w="1224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рабочих дня</w:t>
            </w:r>
          </w:p>
        </w:tc>
      </w:tr>
      <w:tr w:rsidR="00376352" w:rsidRPr="002B3CD2" w:rsidTr="00E852A3">
        <w:tc>
          <w:tcPr>
            <w:tcW w:w="2337" w:type="pct"/>
            <w:vMerge/>
          </w:tcPr>
          <w:p w:rsidR="00376352" w:rsidRPr="002B3CD2" w:rsidRDefault="00376352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proofErr w:type="gramEnd"/>
          </w:p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данных в случае невозможности обеспечения правомерности обработки</w:t>
            </w:r>
          </w:p>
        </w:tc>
        <w:tc>
          <w:tcPr>
            <w:tcW w:w="1224" w:type="pct"/>
          </w:tcPr>
          <w:p w:rsidR="00376352" w:rsidRPr="002B3CD2" w:rsidRDefault="00376352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10 рабочих дня</w:t>
            </w:r>
          </w:p>
        </w:tc>
      </w:tr>
      <w:tr w:rsidR="00376352" w:rsidRPr="002B3CD2" w:rsidTr="00E852A3">
        <w:tc>
          <w:tcPr>
            <w:tcW w:w="2337" w:type="pct"/>
            <w:vMerge w:val="restar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Достижение цели обработки персональных данных субъекта</w:t>
            </w:r>
          </w:p>
        </w:tc>
        <w:tc>
          <w:tcPr>
            <w:tcW w:w="1439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Прекращение обработки</w:t>
            </w:r>
          </w:p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1224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об уничтожении</w:t>
            </w:r>
          </w:p>
          <w:p w:rsidR="00376352" w:rsidRPr="002B3CD2" w:rsidRDefault="00376352" w:rsidP="0037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 30 дней</w:t>
            </w:r>
          </w:p>
        </w:tc>
      </w:tr>
      <w:tr w:rsidR="00376352" w:rsidRPr="002B3CD2" w:rsidTr="00E852A3">
        <w:tc>
          <w:tcPr>
            <w:tcW w:w="2337" w:type="pct"/>
            <w:vMerge/>
          </w:tcPr>
          <w:p w:rsidR="00376352" w:rsidRPr="002B3CD2" w:rsidRDefault="00376352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proofErr w:type="gramEnd"/>
          </w:p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224" w:type="pct"/>
          </w:tcPr>
          <w:p w:rsidR="00376352" w:rsidRPr="002B3CD2" w:rsidRDefault="00376352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52" w:rsidRPr="002B3CD2" w:rsidTr="00E852A3">
        <w:tc>
          <w:tcPr>
            <w:tcW w:w="2337" w:type="pct"/>
          </w:tcPr>
          <w:p w:rsidR="00376352" w:rsidRPr="002B3CD2" w:rsidRDefault="00D97233" w:rsidP="00D9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  обработки ПД по требованию работника</w:t>
            </w: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Прекращение обработки</w:t>
            </w:r>
          </w:p>
          <w:p w:rsidR="00376352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1224" w:type="pct"/>
          </w:tcPr>
          <w:p w:rsidR="00376352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дней, с продлением на 5 рабочих дней*</w:t>
            </w:r>
          </w:p>
          <w:p w:rsidR="00D97233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*(Направление мотивированного уведомления с указанием </w:t>
            </w:r>
            <w:proofErr w:type="gramStart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 продления срока предоставления запрашиваемой информации</w:t>
            </w:r>
            <w:proofErr w:type="gramEnd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76352" w:rsidRPr="002B3CD2" w:rsidTr="00E852A3">
        <w:tc>
          <w:tcPr>
            <w:tcW w:w="2337" w:type="pct"/>
          </w:tcPr>
          <w:p w:rsidR="00376352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случае отсутствия возможности уничтожения персональных данных в течение срока</w:t>
            </w:r>
          </w:p>
        </w:tc>
        <w:tc>
          <w:tcPr>
            <w:tcW w:w="1439" w:type="pct"/>
          </w:tcPr>
          <w:p w:rsidR="00376352" w:rsidRPr="002B3CD2" w:rsidRDefault="00376352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376352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блокирование и уничтожение персональных данных в срок не более чем шесть месяцев</w:t>
            </w:r>
          </w:p>
        </w:tc>
      </w:tr>
      <w:tr w:rsidR="00D97233" w:rsidRPr="002B3CD2" w:rsidTr="00E852A3">
        <w:tc>
          <w:tcPr>
            <w:tcW w:w="2337" w:type="pct"/>
            <w:vMerge w:val="restar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Уничтожение персональных  данных</w:t>
            </w: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D97233" w:rsidRPr="002B3CD2" w:rsidRDefault="00E43BE6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об уничтожении</w:t>
            </w:r>
          </w:p>
        </w:tc>
      </w:tr>
      <w:tr w:rsidR="00D97233" w:rsidRPr="002B3CD2" w:rsidTr="00E852A3">
        <w:tc>
          <w:tcPr>
            <w:tcW w:w="2337" w:type="pct"/>
            <w:vMerge/>
          </w:tcPr>
          <w:p w:rsidR="00D97233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D97233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F04D6" w:rsidRPr="002F04D6" w:rsidRDefault="002F04D6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04D6" w:rsidRPr="002F04D6" w:rsidSect="002F04D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82CC7"/>
    <w:rsid w:val="001C4BE0"/>
    <w:rsid w:val="002B3CD2"/>
    <w:rsid w:val="002F04D6"/>
    <w:rsid w:val="00376352"/>
    <w:rsid w:val="00465752"/>
    <w:rsid w:val="00665C69"/>
    <w:rsid w:val="00682CC7"/>
    <w:rsid w:val="00B66FE4"/>
    <w:rsid w:val="00BB30D5"/>
    <w:rsid w:val="00D97233"/>
    <w:rsid w:val="00E43BE6"/>
    <w:rsid w:val="00E852A3"/>
    <w:rsid w:val="00EA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852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5F6C9-0042-4DDE-BC13-3674F484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2</cp:revision>
  <dcterms:created xsi:type="dcterms:W3CDTF">2023-06-08T09:20:00Z</dcterms:created>
  <dcterms:modified xsi:type="dcterms:W3CDTF">2023-06-08T09:20:00Z</dcterms:modified>
</cp:coreProperties>
</file>