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68" w:rsidRDefault="00773E68" w:rsidP="00773E68">
      <w:pPr>
        <w:pStyle w:val="Default"/>
      </w:pPr>
      <w:r>
        <w:t>ПРИНЯТО:</w:t>
      </w:r>
    </w:p>
    <w:p w:rsidR="00773E68" w:rsidRDefault="00773E68" w:rsidP="00773E68">
      <w:pPr>
        <w:pStyle w:val="Default"/>
      </w:pPr>
      <w:r>
        <w:t xml:space="preserve">Педагогическим советом </w:t>
      </w:r>
    </w:p>
    <w:p w:rsidR="00773E68" w:rsidRDefault="00773E68" w:rsidP="00773E68">
      <w:pPr>
        <w:pStyle w:val="Default"/>
      </w:pPr>
      <w:r>
        <w:t>МБОУ СОШ № 4</w:t>
      </w:r>
    </w:p>
    <w:p w:rsidR="00773E68" w:rsidRDefault="00773E68" w:rsidP="00773E68">
      <w:pPr>
        <w:pStyle w:val="Default"/>
      </w:pPr>
      <w:r>
        <w:t>Протокол № 1 от 31.08.2022</w:t>
      </w:r>
    </w:p>
    <w:p w:rsidR="00773E68" w:rsidRDefault="00773E68" w:rsidP="00773E68">
      <w:pPr>
        <w:pStyle w:val="Default"/>
      </w:pPr>
      <w:r>
        <w:t xml:space="preserve"> </w:t>
      </w:r>
    </w:p>
    <w:p w:rsidR="00773E68" w:rsidRDefault="00773E68" w:rsidP="00773E68">
      <w:pPr>
        <w:pStyle w:val="Default"/>
      </w:pPr>
      <w:r>
        <w:lastRenderedPageBreak/>
        <w:t>УТВЕРЖДЕНО:</w:t>
      </w:r>
    </w:p>
    <w:p w:rsidR="00773E68" w:rsidRDefault="00773E68" w:rsidP="00773E68">
      <w:pPr>
        <w:pStyle w:val="Default"/>
      </w:pPr>
      <w:r>
        <w:t>Директор МБОУ СОШ № 4</w:t>
      </w:r>
    </w:p>
    <w:p w:rsidR="00773E68" w:rsidRDefault="00773E68" w:rsidP="00773E68">
      <w:pPr>
        <w:pStyle w:val="Default"/>
      </w:pPr>
      <w:r>
        <w:t xml:space="preserve">____________ А.Э. Девальд </w:t>
      </w:r>
    </w:p>
    <w:p w:rsidR="00C40D5F" w:rsidRDefault="00773E68" w:rsidP="00773E68">
      <w:pPr>
        <w:pStyle w:val="Default"/>
      </w:pPr>
      <w:r>
        <w:t>Приказ от 31.08.2022  № 68</w:t>
      </w:r>
    </w:p>
    <w:p w:rsidR="00773E68" w:rsidRDefault="00773E68" w:rsidP="00C40D5F">
      <w:pPr>
        <w:pStyle w:val="Default"/>
        <w:jc w:val="center"/>
        <w:rPr>
          <w:b/>
          <w:bCs/>
          <w:sz w:val="28"/>
          <w:szCs w:val="28"/>
        </w:rPr>
        <w:sectPr w:rsidR="00773E68" w:rsidSect="00773E68">
          <w:pgSz w:w="11906" w:h="16838"/>
          <w:pgMar w:top="1134" w:right="991" w:bottom="1134" w:left="1134" w:header="708" w:footer="708" w:gutter="0"/>
          <w:cols w:num="2" w:space="708"/>
          <w:docGrid w:linePitch="360"/>
        </w:sectPr>
      </w:pPr>
    </w:p>
    <w:p w:rsidR="00773E68" w:rsidRDefault="00773E68" w:rsidP="00C40D5F">
      <w:pPr>
        <w:pStyle w:val="Default"/>
        <w:jc w:val="center"/>
        <w:rPr>
          <w:b/>
          <w:bCs/>
          <w:sz w:val="28"/>
          <w:szCs w:val="28"/>
        </w:rPr>
      </w:pPr>
    </w:p>
    <w:p w:rsidR="00773E68" w:rsidRDefault="00773E68" w:rsidP="00C40D5F">
      <w:pPr>
        <w:pStyle w:val="Default"/>
        <w:jc w:val="center"/>
        <w:rPr>
          <w:b/>
          <w:bCs/>
          <w:sz w:val="28"/>
          <w:szCs w:val="28"/>
        </w:rPr>
      </w:pPr>
    </w:p>
    <w:p w:rsidR="00C40D5F" w:rsidRPr="00C40D5F" w:rsidRDefault="00C40D5F" w:rsidP="00C40D5F">
      <w:pPr>
        <w:pStyle w:val="Default"/>
        <w:jc w:val="center"/>
        <w:rPr>
          <w:sz w:val="28"/>
          <w:szCs w:val="28"/>
        </w:rPr>
      </w:pPr>
      <w:r w:rsidRPr="00C40D5F">
        <w:rPr>
          <w:b/>
          <w:bCs/>
          <w:sz w:val="28"/>
          <w:szCs w:val="28"/>
        </w:rPr>
        <w:t>ПОЛОЖЕНИЕ</w:t>
      </w:r>
    </w:p>
    <w:p w:rsidR="00C40D5F" w:rsidRPr="00C40D5F" w:rsidRDefault="00C40D5F" w:rsidP="00C40D5F">
      <w:pPr>
        <w:pStyle w:val="Default"/>
        <w:jc w:val="center"/>
        <w:rPr>
          <w:sz w:val="28"/>
          <w:szCs w:val="28"/>
        </w:rPr>
      </w:pPr>
      <w:r w:rsidRPr="00C40D5F">
        <w:rPr>
          <w:b/>
          <w:bCs/>
          <w:sz w:val="28"/>
          <w:szCs w:val="28"/>
        </w:rPr>
        <w:t xml:space="preserve">о системе наставничества </w:t>
      </w:r>
      <w:proofErr w:type="gramStart"/>
      <w:r w:rsidRPr="00C40D5F">
        <w:rPr>
          <w:b/>
          <w:bCs/>
          <w:sz w:val="28"/>
          <w:szCs w:val="28"/>
        </w:rPr>
        <w:t>педагогических</w:t>
      </w:r>
      <w:proofErr w:type="gramEnd"/>
    </w:p>
    <w:p w:rsidR="005D6F20" w:rsidRPr="00C40D5F" w:rsidRDefault="00C40D5F" w:rsidP="00C40D5F">
      <w:pPr>
        <w:widowControl w:val="0"/>
        <w:autoSpaceDE w:val="0"/>
        <w:autoSpaceDN w:val="0"/>
        <w:spacing w:after="0" w:line="240" w:lineRule="auto"/>
        <w:ind w:right="675"/>
        <w:jc w:val="center"/>
        <w:rPr>
          <w:rFonts w:ascii="Times New Roman" w:eastAsia="Times New Roman" w:hAnsi="Times New Roman" w:cs="Times New Roman"/>
          <w:color w:val="171717"/>
          <w:w w:val="105"/>
          <w:sz w:val="28"/>
          <w:szCs w:val="28"/>
        </w:rPr>
      </w:pPr>
      <w:r w:rsidRPr="00C40D5F">
        <w:rPr>
          <w:rFonts w:ascii="Times New Roman" w:hAnsi="Times New Roman" w:cs="Times New Roman"/>
          <w:b/>
          <w:bCs/>
          <w:sz w:val="28"/>
          <w:szCs w:val="28"/>
        </w:rPr>
        <w:t>работников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МБОУ СОШ №4</w:t>
      </w:r>
    </w:p>
    <w:p w:rsidR="00002424" w:rsidRPr="00002424" w:rsidRDefault="00002424" w:rsidP="000024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424" w:rsidRPr="001912AF" w:rsidRDefault="00002424" w:rsidP="00002424">
      <w:pPr>
        <w:widowControl w:val="0"/>
        <w:tabs>
          <w:tab w:val="left" w:pos="4082"/>
        </w:tabs>
        <w:autoSpaceDE w:val="0"/>
        <w:autoSpaceDN w:val="0"/>
        <w:spacing w:after="0" w:line="275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02424"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 w:rsidRPr="00002424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002424">
        <w:rPr>
          <w:rFonts w:ascii="Times New Roman" w:eastAsia="Times New Roman" w:hAnsi="Times New Roman" w:cs="Times New Roman"/>
          <w:b/>
          <w:sz w:val="24"/>
          <w:szCs w:val="24"/>
        </w:rPr>
        <w:t>положения</w:t>
      </w:r>
    </w:p>
    <w:p w:rsidR="00002424" w:rsidRPr="00002424" w:rsidRDefault="00D721DF" w:rsidP="00D721DF">
      <w:pPr>
        <w:widowControl w:val="0"/>
        <w:tabs>
          <w:tab w:val="left" w:pos="0"/>
          <w:tab w:val="left" w:pos="7978"/>
        </w:tabs>
        <w:autoSpaceDE w:val="0"/>
        <w:autoSpaceDN w:val="0"/>
        <w:spacing w:after="0" w:line="240" w:lineRule="auto"/>
        <w:ind w:right="22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="00002424" w:rsidRPr="0000242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наставничестве в </w:t>
      </w:r>
      <w:r w:rsidR="00C40D5F" w:rsidRPr="001912AF">
        <w:rPr>
          <w:rFonts w:ascii="Times New Roman" w:eastAsia="Times New Roman" w:hAnsi="Times New Roman" w:cs="Times New Roman"/>
          <w:sz w:val="24"/>
          <w:szCs w:val="24"/>
        </w:rPr>
        <w:t>МБОУ СОШ №4</w:t>
      </w:r>
      <w:r w:rsidR="00002424" w:rsidRPr="00002424">
        <w:rPr>
          <w:rFonts w:ascii="Times New Roman" w:eastAsia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="00002424" w:rsidRPr="0000242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="00002424" w:rsidRPr="00002424">
        <w:rPr>
          <w:rFonts w:ascii="Times New Roman" w:eastAsia="Times New Roman" w:hAnsi="Times New Roman" w:cs="Times New Roman"/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</w:t>
      </w:r>
      <w:r w:rsidR="00C40D5F" w:rsidRPr="001912AF">
        <w:rPr>
          <w:rFonts w:ascii="Times New Roman" w:eastAsia="Times New Roman" w:hAnsi="Times New Roman" w:cs="Times New Roman"/>
          <w:sz w:val="24"/>
          <w:szCs w:val="24"/>
        </w:rPr>
        <w:t>общего и профессионального образования Ростовской области от 05.04.2022 №7 «Об утверждении Положения о региональной системе (целевой модели) наставничества педагогических работников образовательных организаций</w:t>
      </w:r>
      <w:r w:rsidR="00002424" w:rsidRPr="00002424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1.2.   В Положении используются следующие понятия: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Наставник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педагогический работник, назначаемый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Наставляемый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Куратор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сотрудник образовательной организации, учреждения из числа заместителей директора, который отвечает за реализацию персонализированны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х(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ой) программ(ы) наставничества.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Наставничество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Форма наставничества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002424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Персонализированная программа наставничества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1.3. Основными принципами системы наставничества педагогических работников являются: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1) 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в определении и совместной деятельности наставника и наставляемого;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1912AF">
        <w:rPr>
          <w:rFonts w:ascii="Times New Roman" w:eastAsia="Times New Roman" w:hAnsi="Times New Roman" w:cs="Times New Roman"/>
          <w:sz w:val="24"/>
          <w:szCs w:val="24"/>
        </w:rPr>
        <w:t>аксиологичности</w:t>
      </w:r>
      <w:proofErr w:type="spell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C40D5F" w:rsidRPr="001912AF" w:rsidRDefault="00C40D5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D721DF" w:rsidRPr="001912AF" w:rsidRDefault="00D721DF" w:rsidP="00C40D5F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2. Цель и задачи системы наставничества. Формы наставничества.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2.2. Задачи системы наставничества педагогических работников: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содействовать увеличению числа закрепившихся в профессии педагогических кадров, в том числе молодых/начинающих педагогов;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Виртуальное (дистанционное) наставничество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Наставничество в группе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Краткосрочное или целеполагающее наставничество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Ситуационное наставничество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Скоростное наставничество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равному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Традиционная форма наставничества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Форма наставничества «учитель – учитель»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– способ реализации целевой модели наставничества через организацию взаимодействия наставнической пары  «учитель-профессионал – учитель, вовлеченный в различные формы поддержки и сопровождения».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i/>
          <w:sz w:val="24"/>
          <w:szCs w:val="24"/>
        </w:rPr>
        <w:t>Форма наставничества «руководитель образовательной организации – учитель»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3. Организация системы наставничества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3.3. Руководитель образовательной организации: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 (приложение 1);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издает прика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з(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1912AF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1912AF">
        <w:rPr>
          <w:rFonts w:ascii="Times New Roman" w:eastAsia="Times New Roman" w:hAnsi="Times New Roman" w:cs="Times New Roman"/>
          <w:sz w:val="24"/>
          <w:szCs w:val="24"/>
        </w:rPr>
        <w:t>, семинарах по проблемам наставничества и т.п.);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3.4. Куратор реализации программ наставничества: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назначается руководителем образовательной организации из числа заместителей руководителя;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предлагает руководителю образовательной организации для утверждения состава 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школьного методического объединения наставников для утверждения (при необходимости его создания);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1912AF">
        <w:rPr>
          <w:rFonts w:ascii="Times New Roman" w:eastAsia="Times New Roman" w:hAnsi="Times New Roman" w:cs="Times New Roman"/>
          <w:sz w:val="24"/>
          <w:szCs w:val="24"/>
        </w:rPr>
        <w:t>стажировочных</w:t>
      </w:r>
      <w:proofErr w:type="spell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 w:rsidRPr="001912AF">
        <w:rPr>
          <w:rFonts w:ascii="Times New Roman" w:eastAsia="Times New Roman" w:hAnsi="Times New Roman" w:cs="Times New Roman"/>
          <w:sz w:val="24"/>
          <w:szCs w:val="24"/>
        </w:rPr>
        <w:t>реализациисистемы</w:t>
      </w:r>
      <w:proofErr w:type="spell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наставничества, реализации персонализированных программ наставничества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3.5. Методическое объединение наставников/комиссия/совет (при его наличии):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разрабатывает, апробирует и реализует персонализированные программы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наставничества, содержание которых соответствует запросу отдельных педагогов и групп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принимает участие в разработке методического сопровождения разнообразных форм наставничества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участвует в мониторинге реализации персонализированных программ наставничества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согласовательных функций и функций медиации;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4. Права и обязанности наставника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4.1. Права наставника: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привлекать для оказания помощи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наставляемому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других педагогических работников образовательной организации с их согласия;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осуществлять мониторинг деятельности наставляемого в форме личной проверки выполнения заданий.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4.2. Обязанности наставника: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наставляемым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создавать условия для созидания и научного поиска, творчества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в педагогическом процессе через привлечение к инновационной деятельности;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- рекомендовать участие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5. Права и обязанности наставляемого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5.1. Права наставляемого: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систематически повышать свой профессиональный уровень;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участвовать в составлении персонализированной программы наставничества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обращаться к куратору и руководителю образовательной организации с ходатайством о замене наставника.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5.2. Обязанности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наставляемого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изучать Федеральный закон от 29 декабря 2012 г. № 273-ФЗ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реализовывать мероприятия плана персонализированной программы наставничества в установленные сроки;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соблюдать правила внутреннего трудового распорядка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выполнять указания и рекомендации наставника по исполнению должностных, профессиональных обязанностей;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устранять совместно с наставником допущенные ошибки и выявленные затруднения;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проявлять дисциплинированность, организованность и культуру в работе и учебе;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учиться у наставника передовым, инновационным методам и формам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работы, правильно строить свои взаимоотношения с ним.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6.1. Формирование наставнических пар (групп) осуществляется по основным критериям: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профессиональный профиль или личный (</w:t>
      </w:r>
      <w:proofErr w:type="spellStart"/>
      <w:r w:rsidRPr="001912AF"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) опыт наставника должны соответствовать запросам наставляемого или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наставляемых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7. Завершение персонализированной программы наставничества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завершения плана мероприятий персонализированной программы наставничества в полном объеме;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по инициативе наставника или наставляемого и/или обоюдному решению (по уважительным обстоятельствам);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7.2. Изменение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 xml:space="preserve">8. Условия </w:t>
      </w:r>
      <w:proofErr w:type="gramStart"/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сайте образовательной организации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На сайте размещаются сведения о реализуемых персонализированных программах </w:t>
      </w:r>
      <w:r w:rsidRPr="001912AF"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b/>
          <w:sz w:val="24"/>
          <w:szCs w:val="24"/>
        </w:rPr>
        <w:t>9. Заключительные положения</w:t>
      </w:r>
    </w:p>
    <w:p w:rsidR="00D721DF" w:rsidRPr="001912AF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>9.1. 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D721DF" w:rsidRPr="00002424" w:rsidRDefault="00D721DF" w:rsidP="00D721DF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AF">
        <w:rPr>
          <w:rFonts w:ascii="Times New Roman" w:eastAsia="Times New Roman" w:hAnsi="Times New Roman" w:cs="Times New Roman"/>
          <w:sz w:val="24"/>
          <w:szCs w:val="24"/>
        </w:rPr>
        <w:t xml:space="preserve">9.2. </w:t>
      </w:r>
      <w:proofErr w:type="gramStart"/>
      <w:r w:rsidRPr="001912AF">
        <w:rPr>
          <w:rFonts w:ascii="Times New Roman" w:eastAsia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D721DF" w:rsidRDefault="00D721DF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1DF" w:rsidRDefault="00D721DF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1DF" w:rsidRDefault="00D721DF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73E68" w:rsidRDefault="00773E68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721DF" w:rsidRDefault="00D721DF" w:rsidP="00002424">
      <w:pPr>
        <w:widowControl w:val="0"/>
        <w:tabs>
          <w:tab w:val="left" w:pos="3499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1912AF" w:rsidRPr="001912AF" w:rsidRDefault="001912AF" w:rsidP="001912AF">
      <w:pPr>
        <w:pStyle w:val="Default"/>
        <w:jc w:val="right"/>
      </w:pPr>
      <w:r w:rsidRPr="001912AF">
        <w:rPr>
          <w:i/>
          <w:iCs/>
        </w:rPr>
        <w:lastRenderedPageBreak/>
        <w:t xml:space="preserve">Приложение 1 </w:t>
      </w:r>
    </w:p>
    <w:p w:rsidR="001912AF" w:rsidRDefault="001912AF" w:rsidP="001912AF">
      <w:pPr>
        <w:pStyle w:val="Default"/>
        <w:jc w:val="center"/>
        <w:rPr>
          <w:b/>
          <w:bCs/>
        </w:rPr>
      </w:pPr>
      <w:r w:rsidRPr="001912AF">
        <w:rPr>
          <w:b/>
          <w:bCs/>
        </w:rPr>
        <w:t>Дорожная карта (план мероприятий) по реализации Положения о системе наставничества педагогических работников в МБОУ СОШ №4</w:t>
      </w:r>
    </w:p>
    <w:p w:rsidR="00B42C8C" w:rsidRPr="001912AF" w:rsidRDefault="00B42C8C" w:rsidP="001912AF">
      <w:pPr>
        <w:pStyle w:val="Default"/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7371"/>
      </w:tblGrid>
      <w:tr w:rsidR="001912AF" w:rsidRPr="001912AF" w:rsidTr="00B42C8C">
        <w:trPr>
          <w:trHeight w:val="286"/>
        </w:trPr>
        <w:tc>
          <w:tcPr>
            <w:tcW w:w="675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№ </w:t>
            </w:r>
          </w:p>
        </w:tc>
        <w:tc>
          <w:tcPr>
            <w:tcW w:w="1843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Наименование этапа </w:t>
            </w:r>
          </w:p>
        </w:tc>
        <w:tc>
          <w:tcPr>
            <w:tcW w:w="7371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Содержание деятельности и примерный план мероприятий </w:t>
            </w:r>
          </w:p>
        </w:tc>
      </w:tr>
      <w:tr w:rsidR="001912AF" w:rsidRPr="001912AF" w:rsidTr="00B42C8C">
        <w:trPr>
          <w:trHeight w:val="1884"/>
        </w:trPr>
        <w:tc>
          <w:tcPr>
            <w:tcW w:w="675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1. </w:t>
            </w:r>
          </w:p>
        </w:tc>
        <w:tc>
          <w:tcPr>
            <w:tcW w:w="1843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Подготовка условий для реализации системы </w:t>
            </w:r>
          </w:p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наставничества </w:t>
            </w:r>
          </w:p>
        </w:tc>
        <w:tc>
          <w:tcPr>
            <w:tcW w:w="7371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Подготовка и принятие локальных нормативных правовых актов образовательной организации: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– приказ «Об утверждении положения о системе наставничества педагогических работников в образовательной организации» </w:t>
            </w:r>
          </w:p>
          <w:p w:rsidR="001912AF" w:rsidRPr="001912AF" w:rsidRDefault="001912AF">
            <w:pPr>
              <w:pStyle w:val="Default"/>
            </w:pPr>
            <w:r w:rsidRPr="001912AF">
              <w:t>– прика</w:t>
            </w:r>
            <w:proofErr w:type="gramStart"/>
            <w:r w:rsidRPr="001912AF">
              <w:t>з(</w:t>
            </w:r>
            <w:proofErr w:type="gramEnd"/>
            <w:r w:rsidRPr="001912AF">
      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– подготовка персонализированных программ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наставничества – при наличии в организации </w:t>
            </w:r>
            <w:proofErr w:type="gramStart"/>
            <w:r w:rsidRPr="001912AF">
              <w:t>наставляемых</w:t>
            </w:r>
            <w:proofErr w:type="gramEnd"/>
            <w:r w:rsidRPr="001912AF">
              <w:t xml:space="preserve">. </w:t>
            </w:r>
          </w:p>
        </w:tc>
      </w:tr>
      <w:tr w:rsidR="001912AF" w:rsidRPr="001912AF" w:rsidTr="00B42C8C">
        <w:trPr>
          <w:trHeight w:val="816"/>
        </w:trPr>
        <w:tc>
          <w:tcPr>
            <w:tcW w:w="675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2. </w:t>
            </w:r>
          </w:p>
        </w:tc>
        <w:tc>
          <w:tcPr>
            <w:tcW w:w="1843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Формирование банка </w:t>
            </w:r>
            <w:proofErr w:type="gramStart"/>
            <w:r w:rsidRPr="001912AF">
              <w:rPr>
                <w:bCs/>
              </w:rPr>
              <w:t>наставляемых</w:t>
            </w:r>
            <w:proofErr w:type="gramEnd"/>
            <w:r w:rsidRPr="001912AF">
              <w:rPr>
                <w:bCs/>
              </w:rPr>
              <w:t xml:space="preserve"> </w:t>
            </w:r>
          </w:p>
        </w:tc>
        <w:tc>
          <w:tcPr>
            <w:tcW w:w="7371" w:type="dxa"/>
          </w:tcPr>
          <w:p w:rsidR="001912AF" w:rsidRPr="001912AF" w:rsidRDefault="001912AF">
            <w:pPr>
              <w:pStyle w:val="Default"/>
            </w:pPr>
            <w:r w:rsidRPr="001912AF">
              <w:t xml:space="preserve">1) Сбор информации о профессиональных запросах педагогов.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2) Формирование банка данных наставляемых, обеспечение согласий на сбор и </w:t>
            </w:r>
            <w:r w:rsidR="00773E68">
              <w:t xml:space="preserve">обработку персональных данных. </w:t>
            </w:r>
          </w:p>
        </w:tc>
      </w:tr>
      <w:tr w:rsidR="001912AF" w:rsidRPr="001912AF" w:rsidTr="00B42C8C">
        <w:trPr>
          <w:trHeight w:val="1160"/>
        </w:trPr>
        <w:tc>
          <w:tcPr>
            <w:tcW w:w="675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3. </w:t>
            </w:r>
          </w:p>
        </w:tc>
        <w:tc>
          <w:tcPr>
            <w:tcW w:w="1843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Формирование банка наставников </w:t>
            </w:r>
          </w:p>
        </w:tc>
        <w:tc>
          <w:tcPr>
            <w:tcW w:w="7371" w:type="dxa"/>
          </w:tcPr>
          <w:p w:rsidR="001912AF" w:rsidRPr="001912AF" w:rsidRDefault="001912AF">
            <w:pPr>
              <w:pStyle w:val="Default"/>
            </w:pPr>
            <w:r w:rsidRPr="001912AF">
              <w:t xml:space="preserve">1) 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2) Формирование банка данных наставников, обеспечение согласий на сбор и </w:t>
            </w:r>
            <w:r w:rsidR="00773E68">
              <w:t xml:space="preserve">обработку персональных данных. </w:t>
            </w:r>
          </w:p>
        </w:tc>
      </w:tr>
      <w:tr w:rsidR="001912AF" w:rsidRPr="001912AF" w:rsidTr="00B42C8C">
        <w:trPr>
          <w:trHeight w:val="261"/>
        </w:trPr>
        <w:tc>
          <w:tcPr>
            <w:tcW w:w="675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4. </w:t>
            </w:r>
          </w:p>
        </w:tc>
        <w:tc>
          <w:tcPr>
            <w:tcW w:w="1843" w:type="dxa"/>
          </w:tcPr>
          <w:p w:rsidR="001912AF" w:rsidRPr="001912AF" w:rsidRDefault="001912AF">
            <w:pPr>
              <w:pStyle w:val="Default"/>
            </w:pPr>
            <w:r w:rsidRPr="001912AF">
              <w:rPr>
                <w:bCs/>
              </w:rPr>
              <w:t xml:space="preserve">Отбор и обучение </w:t>
            </w:r>
          </w:p>
        </w:tc>
        <w:tc>
          <w:tcPr>
            <w:tcW w:w="7371" w:type="dxa"/>
          </w:tcPr>
          <w:p w:rsidR="001912AF" w:rsidRPr="001912AF" w:rsidRDefault="001912AF">
            <w:pPr>
              <w:pStyle w:val="Default"/>
            </w:pPr>
            <w:r w:rsidRPr="001912AF">
              <w:t xml:space="preserve">1) Анализ банка наставников и выбор подходящих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для </w:t>
            </w:r>
            <w:r w:rsidRPr="001912AF">
              <w:rPr>
                <w:i/>
                <w:iCs/>
              </w:rPr>
              <w:t xml:space="preserve">конкретной </w:t>
            </w:r>
            <w:r w:rsidRPr="001912AF">
              <w:t xml:space="preserve">персонализированной программы </w:t>
            </w:r>
          </w:p>
          <w:p w:rsidR="001912AF" w:rsidRPr="001912AF" w:rsidRDefault="001912AF" w:rsidP="001912AF">
            <w:pPr>
              <w:pStyle w:val="Default"/>
            </w:pPr>
            <w:r w:rsidRPr="001912AF">
              <w:t>наставничества педагога/группы педагогов.</w:t>
            </w:r>
          </w:p>
          <w:p w:rsidR="001912AF" w:rsidRPr="001912AF" w:rsidRDefault="001912AF" w:rsidP="001912AF">
            <w:pPr>
              <w:pStyle w:val="Default"/>
            </w:pPr>
            <w:r w:rsidRPr="001912AF">
              <w:t xml:space="preserve">2) Обучение наставников для работы с </w:t>
            </w:r>
            <w:proofErr w:type="gramStart"/>
            <w:r w:rsidRPr="001912AF">
              <w:t>наставляемыми</w:t>
            </w:r>
            <w:proofErr w:type="gramEnd"/>
            <w:r w:rsidRPr="001912AF">
              <w:t>:</w:t>
            </w:r>
          </w:p>
          <w:p w:rsidR="001912AF" w:rsidRPr="001912AF" w:rsidRDefault="001912AF" w:rsidP="001912AF">
            <w:pPr>
              <w:pStyle w:val="Default"/>
            </w:pPr>
            <w:r w:rsidRPr="001912AF">
              <w:t>- подготовка методических материалов для сопровождения наставнической деятельности;</w:t>
            </w:r>
          </w:p>
          <w:p w:rsidR="001912AF" w:rsidRPr="001912AF" w:rsidRDefault="001912AF" w:rsidP="001912AF">
            <w:pPr>
              <w:pStyle w:val="Default"/>
            </w:pPr>
            <w:r w:rsidRPr="001912AF">
              <w:t>- проведение консультаций, организация обмена опытом среди наставников – «установочные сессии»</w:t>
            </w:r>
          </w:p>
          <w:p w:rsidR="001912AF" w:rsidRPr="001912AF" w:rsidRDefault="001912AF" w:rsidP="001912AF">
            <w:pPr>
              <w:pStyle w:val="Default"/>
            </w:pPr>
            <w:r w:rsidRPr="001912AF">
              <w:t>наставников.</w:t>
            </w:r>
          </w:p>
        </w:tc>
      </w:tr>
      <w:tr w:rsidR="001912AF" w:rsidRPr="001912AF" w:rsidTr="00B42C8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 xml:space="preserve">5.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 xml:space="preserve">Организация и осуществление работы наставнических пар/групп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</w:pPr>
            <w:r w:rsidRPr="001912AF">
              <w:t xml:space="preserve">1) Формирование наставнических пар/групп.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2) Разработка персонализированных программ наставничества для каждой пары/группы. </w:t>
            </w:r>
          </w:p>
          <w:p w:rsidR="001912AF" w:rsidRPr="001912AF" w:rsidRDefault="001912AF">
            <w:pPr>
              <w:pStyle w:val="Default"/>
            </w:pPr>
            <w:r w:rsidRPr="001912AF">
              <w:t>3) 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</w:t>
            </w:r>
            <w:r w:rsidR="00773E68">
              <w:t xml:space="preserve">наставников. </w:t>
            </w:r>
          </w:p>
        </w:tc>
      </w:tr>
      <w:tr w:rsidR="001912AF" w:rsidRPr="001912AF" w:rsidTr="00B42C8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 xml:space="preserve">6.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 xml:space="preserve">Завершение </w:t>
            </w:r>
            <w:proofErr w:type="spellStart"/>
            <w:proofErr w:type="gramStart"/>
            <w:r w:rsidRPr="001912AF">
              <w:rPr>
                <w:bCs/>
              </w:rPr>
              <w:t>персонализированн</w:t>
            </w:r>
            <w:proofErr w:type="spellEnd"/>
            <w:r w:rsidRPr="001912AF">
              <w:rPr>
                <w:bCs/>
              </w:rPr>
              <w:t xml:space="preserve"> </w:t>
            </w:r>
            <w:proofErr w:type="spellStart"/>
            <w:r w:rsidRPr="001912AF">
              <w:rPr>
                <w:bCs/>
              </w:rPr>
              <w:t>ых</w:t>
            </w:r>
            <w:proofErr w:type="spellEnd"/>
            <w:proofErr w:type="gramEnd"/>
            <w:r w:rsidRPr="001912AF">
              <w:rPr>
                <w:bCs/>
              </w:rPr>
              <w:t xml:space="preserve"> программ наставничества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</w:pPr>
            <w:r w:rsidRPr="001912AF">
              <w:t xml:space="preserve">1) Проведение мониторинга качества реализации персонализированных программ наставничества (анкетирование); </w:t>
            </w:r>
          </w:p>
          <w:p w:rsidR="001912AF" w:rsidRPr="001912AF" w:rsidRDefault="001912AF">
            <w:pPr>
              <w:pStyle w:val="Default"/>
            </w:pPr>
            <w:r w:rsidRPr="001912AF">
              <w:t xml:space="preserve">2) Проведение школьной конференции или семинара. </w:t>
            </w:r>
          </w:p>
          <w:p w:rsidR="001912AF" w:rsidRPr="001912AF" w:rsidRDefault="001912AF">
            <w:pPr>
              <w:pStyle w:val="Default"/>
            </w:pPr>
            <w:r w:rsidRPr="001912AF">
              <w:t>3) Проведение итогового мероприятия (круглого стола) по выявлению лучших практик наставничества; пополнение методической копилки педагоги</w:t>
            </w:r>
            <w:r w:rsidR="00773E68">
              <w:t xml:space="preserve">ческих практик наставничества. </w:t>
            </w:r>
          </w:p>
        </w:tc>
      </w:tr>
      <w:tr w:rsidR="00B42C8C" w:rsidRPr="001912AF" w:rsidTr="00B42C8C">
        <w:trPr>
          <w:trHeight w:val="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 xml:space="preserve">7.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  <w:rPr>
                <w:bCs/>
              </w:rPr>
            </w:pPr>
            <w:r w:rsidRPr="001912AF">
              <w:rPr>
                <w:bCs/>
              </w:rPr>
              <w:t>Информационная подде</w:t>
            </w:r>
            <w:bookmarkStart w:id="0" w:name="_GoBack"/>
            <w:bookmarkEnd w:id="0"/>
            <w:r w:rsidRPr="001912AF">
              <w:rPr>
                <w:bCs/>
              </w:rPr>
              <w:t xml:space="preserve">ржка системы наставничества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2AF" w:rsidRPr="001912AF" w:rsidRDefault="001912AF">
            <w:pPr>
              <w:pStyle w:val="Default"/>
            </w:pPr>
            <w:r w:rsidRPr="001912AF">
              <w:t xml:space="preserve">Освещение мероприятий Дорожной карты осуществляется на всех этапах на сайте образовательной организации и социальных сетях, по возможности </w:t>
            </w:r>
            <w:proofErr w:type="gramStart"/>
            <w:r w:rsidRPr="001912AF">
              <w:t>на</w:t>
            </w:r>
            <w:proofErr w:type="gramEnd"/>
            <w:r w:rsidRPr="001912AF">
              <w:t xml:space="preserve"> муниципальном и региональном </w:t>
            </w:r>
          </w:p>
          <w:p w:rsidR="001912AF" w:rsidRPr="001912AF" w:rsidRDefault="001912AF">
            <w:pPr>
              <w:pStyle w:val="Default"/>
            </w:pPr>
            <w:proofErr w:type="gramStart"/>
            <w:r w:rsidRPr="001912AF">
              <w:t>уровнях</w:t>
            </w:r>
            <w:proofErr w:type="gramEnd"/>
            <w:r w:rsidRPr="001912AF">
              <w:t xml:space="preserve">. </w:t>
            </w:r>
          </w:p>
        </w:tc>
      </w:tr>
    </w:tbl>
    <w:p w:rsidR="001912AF" w:rsidRDefault="001912AF" w:rsidP="0000242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42C8C" w:rsidRPr="00002424" w:rsidRDefault="00B42C8C" w:rsidP="0000242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42C8C" w:rsidRPr="00002424" w:rsidSect="00773E68">
      <w:type w:val="continuous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AD0433"/>
    <w:rsid w:val="00002424"/>
    <w:rsid w:val="001912AF"/>
    <w:rsid w:val="001E3D46"/>
    <w:rsid w:val="004406B2"/>
    <w:rsid w:val="00534B63"/>
    <w:rsid w:val="005D6F20"/>
    <w:rsid w:val="00773E68"/>
    <w:rsid w:val="00AD0433"/>
    <w:rsid w:val="00B42C8C"/>
    <w:rsid w:val="00C40D5F"/>
    <w:rsid w:val="00D721DF"/>
    <w:rsid w:val="00FE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40D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4090</Words>
  <Characters>23318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2</cp:revision>
  <dcterms:created xsi:type="dcterms:W3CDTF">2023-05-30T09:17:00Z</dcterms:created>
  <dcterms:modified xsi:type="dcterms:W3CDTF">2023-05-30T09:17:00Z</dcterms:modified>
</cp:coreProperties>
</file>