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496176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415904e-d713-4c0f-85b9-f0fc7da9f072" w:id="1"/>
      <w:r>
        <w:rPr>
          <w:rFonts w:ascii="Times New Roman" w:hAnsi="Times New Roman"/>
          <w:b/>
          <w:i w:val="false"/>
          <w:color w:val="000000"/>
          <w:sz w:val="28"/>
        </w:rPr>
        <w:t xml:space="preserve">Комитет образования, науки и молодежной политики Волгоградской области </w:t>
      </w:r>
      <w:bookmarkEnd w:id="1"/>
      <w:r>
        <w:rPr>
          <w:sz w:val="28"/>
        </w:rPr>
        <w:br/>
      </w:r>
      <w:bookmarkStart w:name="d415904e-d713-4c0f-85b9-f0fc7da9f072" w:id="2"/>
      <w:r>
        <w:rPr>
          <w:rFonts w:ascii="Times New Roman" w:hAnsi="Times New Roman"/>
          <w:b/>
          <w:i w:val="false"/>
          <w:color w:val="000000"/>
          <w:sz w:val="28"/>
        </w:rPr>
        <w:t xml:space="preserve"> Администрация Суровикинского муниципального района Волгоградской области </w:t>
      </w:r>
      <w:bookmarkEnd w:id="2"/>
      <w:r>
        <w:rPr>
          <w:sz w:val="28"/>
        </w:rPr>
        <w:br/>
      </w:r>
      <w:bookmarkStart w:name="d415904e-d713-4c0f-85b9-f0fc7da9f072" w:id="3"/>
      <w:bookmarkEnd w:id="3"/>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459302c-2135-426b-9eef-71fb8dcd979a" w:id="4"/>
      <w:r>
        <w:rPr>
          <w:rFonts w:ascii="Times New Roman" w:hAnsi="Times New Roman"/>
          <w:b/>
          <w:i w:val="false"/>
          <w:color w:val="000000"/>
          <w:sz w:val="28"/>
        </w:rPr>
        <w:t>Отдел по образованию</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Качалинская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методическое объединение учителей естественно-научного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Власова А.И.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старший методист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Турченкова Т.Ю.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Власова А.И.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№84</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3311145)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8df893d-8e48-4a6c-b707-e30db5572816" w:id="5"/>
      <w:r>
        <w:rPr>
          <w:rFonts w:ascii="Times New Roman" w:hAnsi="Times New Roman"/>
          <w:b/>
          <w:i w:val="false"/>
          <w:color w:val="000000"/>
          <w:sz w:val="28"/>
        </w:rPr>
        <w:t>хутор Качалин</w:t>
      </w:r>
      <w:bookmarkEnd w:id="5"/>
      <w:r>
        <w:rPr>
          <w:rFonts w:ascii="Times New Roman" w:hAnsi="Times New Roman"/>
          <w:b/>
          <w:i w:val="false"/>
          <w:color w:val="000000"/>
          <w:sz w:val="28"/>
        </w:rPr>
        <w:t xml:space="preserve">‌ </w:t>
      </w:r>
      <w:bookmarkStart w:name="d0353ffa-3b9d-4f1b-95cd-292ab35e49b4" w:id="6"/>
      <w:r>
        <w:rPr>
          <w:rFonts w:ascii="Times New Roman" w:hAnsi="Times New Roman"/>
          <w:b/>
          <w:i w:val="false"/>
          <w:color w:val="000000"/>
          <w:sz w:val="28"/>
        </w:rPr>
        <w:t>2023</w:t>
      </w:r>
      <w:bookmarkEnd w:id="6"/>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4961763" w:id="7"/>
    <w:p>
      <w:pPr>
        <w:sectPr>
          <w:pgSz w:w="11906" w:h="16383" w:orient="portrait"/>
        </w:sectPr>
      </w:pPr>
    </w:p>
    <w:bookmarkEnd w:id="7"/>
    <w:bookmarkEnd w:id="0"/>
    <w:bookmarkStart w:name="block-24961764" w:id="8"/>
    <w:p>
      <w:pPr>
        <w:spacing w:before="0" w:after="0" w:line="276"/>
        <w:ind w:firstLine="600"/>
        <w:jc w:val="left"/>
      </w:pPr>
      <w:bookmarkStart w:name="_Toc118729915" w:id="9"/>
      <w:bookmarkEnd w:id="9"/>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Calibri" w:hAnsi="Calibri"/>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24961764" w:id="10"/>
    <w:p>
      <w:pPr>
        <w:sectPr>
          <w:pgSz w:w="11906" w:h="16383" w:orient="portrait"/>
        </w:sectPr>
      </w:pPr>
    </w:p>
    <w:bookmarkEnd w:id="10"/>
    <w:bookmarkEnd w:id="8"/>
    <w:bookmarkStart w:name="block-24961765" w:id="11"/>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24961765" w:id="12"/>
    <w:p>
      <w:pPr>
        <w:sectPr>
          <w:pgSz w:w="11906" w:h="16383" w:orient="portrait"/>
        </w:sectPr>
      </w:pPr>
    </w:p>
    <w:bookmarkEnd w:id="12"/>
    <w:bookmarkEnd w:id="11"/>
    <w:bookmarkStart w:name="block-24961766" w:id="13"/>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24961766" w:id="14"/>
    <w:p>
      <w:pPr>
        <w:sectPr>
          <w:pgSz w:w="11906" w:h="16383" w:orient="portrait"/>
        </w:sectPr>
      </w:pPr>
    </w:p>
    <w:bookmarkEnd w:id="14"/>
    <w:bookmarkEnd w:id="13"/>
    <w:bookmarkStart w:name="block-24961767"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973"/>
        <w:gridCol w:w="2240"/>
        <w:gridCol w:w="2298"/>
        <w:gridCol w:w="5103"/>
        <w:gridCol w:w="2939"/>
        <w:gridCol w:w="41"/>
      </w:tblGrid>
      <w:tr>
        <w:trPr>
          <w:trHeight w:val="570" w:hRule="atLeast"/>
          <w:trHeight w:val="144" w:hRule="atLeast"/>
        </w:trPr>
        <w:tc>
          <w:tcPr>
            <w:tcW w:w="6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608"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c>
          <w:tcPr>
            <w:tcW w:w="20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Дополнительная информация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6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5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825"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1365"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555"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1365"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5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1095"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300"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5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33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5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68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572" w:type="dxa"/>
            <w:tcBorders/>
            <w:tcMar>
              <w:top w:w="50" w:type="dxa"/>
              <w:left w:w="100" w:type="dxa"/>
            </w:tcMar>
            <w:vAlign w:val="center"/>
          </w:tcPr>
          <w:p>
            <w:pPr>
              <w:spacing w:before="0" w:after="0"/>
              <w:ind w:left="135"/>
              <w:jc w:val="left"/>
            </w:pPr>
          </w:p>
        </w:tc>
        <w:tc>
          <w:tcPr>
            <w:tcW w:w="2057"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5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5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954"/>
        <w:gridCol w:w="2400"/>
        <w:gridCol w:w="2277"/>
        <w:gridCol w:w="5004"/>
        <w:gridCol w:w="2918"/>
        <w:gridCol w:w="41"/>
      </w:tblGrid>
      <w:tr>
        <w:trPr>
          <w:trHeight w:val="570" w:hRule="atLeast"/>
          <w:trHeight w:val="144" w:hRule="atLeast"/>
        </w:trPr>
        <w:tc>
          <w:tcPr>
            <w:tcW w:w="6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593"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c>
          <w:tcPr>
            <w:tcW w:w="204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Дополнительная информация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5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6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spacing w:before="0" w:after="0"/>
              <w:ind w:left="135"/>
              <w:jc w:val="left"/>
            </w:pPr>
          </w:p>
        </w:tc>
      </w:tr>
      <w:tr>
        <w:trPr>
          <w:trHeight w:val="1095" w:hRule="atLeast"/>
          <w:trHeight w:val="144" w:hRule="atLeast"/>
        </w:trPr>
        <w:tc>
          <w:tcPr>
            <w:tcW w:w="6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spacing w:before="0" w:after="0"/>
              <w:ind w:left="135"/>
              <w:jc w:val="left"/>
            </w:pPr>
          </w:p>
        </w:tc>
      </w:tr>
      <w:tr>
        <w:trPr>
          <w:trHeight w:val="555" w:hRule="atLeast"/>
          <w:trHeight w:val="144" w:hRule="atLeast"/>
        </w:trPr>
        <w:tc>
          <w:tcPr>
            <w:tcW w:w="6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5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6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spacing w:before="0" w:after="0"/>
              <w:ind w:left="135"/>
              <w:jc w:val="left"/>
            </w:pPr>
          </w:p>
        </w:tc>
      </w:tr>
      <w:tr>
        <w:trPr>
          <w:trHeight w:val="300" w:hRule="atLeast"/>
          <w:trHeight w:val="144" w:hRule="atLeast"/>
        </w:trPr>
        <w:tc>
          <w:tcPr>
            <w:tcW w:w="6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spacing w:before="0" w:after="0"/>
              <w:ind w:left="135"/>
              <w:jc w:val="left"/>
            </w:pPr>
          </w:p>
        </w:tc>
      </w:tr>
      <w:tr>
        <w:trPr>
          <w:trHeight w:val="1095" w:hRule="atLeast"/>
          <w:trHeight w:val="144" w:hRule="atLeast"/>
        </w:trPr>
        <w:tc>
          <w:tcPr>
            <w:tcW w:w="6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5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300" w:hRule="atLeast"/>
          <w:trHeight w:val="144" w:hRule="atLeast"/>
        </w:trPr>
        <w:tc>
          <w:tcPr>
            <w:tcW w:w="6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3502" w:type="dxa"/>
            <w:tcBorders/>
            <w:tcMar>
              <w:top w:w="50" w:type="dxa"/>
              <w:left w:w="100" w:type="dxa"/>
            </w:tcMar>
            <w:vAlign w:val="center"/>
          </w:tcPr>
          <w:p>
            <w:pPr>
              <w:spacing w:before="0" w:after="0"/>
              <w:ind w:left="135"/>
              <w:jc w:val="left"/>
            </w:pPr>
          </w:p>
        </w:tc>
        <w:tc>
          <w:tcPr>
            <w:tcW w:w="2042"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5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5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961767" w:id="16"/>
    <w:p>
      <w:pPr>
        <w:sectPr>
          <w:pgSz w:w="16383" w:h="11906" w:orient="landscape"/>
        </w:sectPr>
      </w:pPr>
    </w:p>
    <w:bookmarkEnd w:id="16"/>
    <w:bookmarkEnd w:id="15"/>
    <w:bookmarkStart w:name="block-24961768"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14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 гомологический ряд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Этилен и пропилен — простейшие представители алкенов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 Токсичность аренов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 Водородная связь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Стеариновая и олеиновая кислоты, как представители высших карбоновых кислот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гидролиз, применение, биологическая роль жиров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 Важнейшие представители: глюкоза, фруктоза, сахароза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и целлюлоза как природные полимеры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метиламин и анилин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высокомолекулярные соединения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3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 Электронная конфигурация атомов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 Обратимые реакции. Химическое равновесие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0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Электрохимический ряд напряжений металлов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и их соединений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цинка, железа и их соединений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галогенов, серы и их соединений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азота, фосфора и их соединений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углерода, кремния и их соединений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важнейших неметаллов и их соединений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мире веществ и материалов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961768" w:id="18"/>
    <w:p>
      <w:pPr>
        <w:sectPr>
          <w:pgSz w:w="16383" w:h="11906" w:orient="landscape"/>
        </w:sectPr>
      </w:pPr>
    </w:p>
    <w:bookmarkEnd w:id="18"/>
    <w:bookmarkEnd w:id="17"/>
    <w:bookmarkStart w:name="block-24961769"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4961769"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