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5D" w:rsidRPr="00197A14" w:rsidRDefault="00197A14">
      <w:pPr>
        <w:spacing w:after="0" w:line="408" w:lineRule="auto"/>
        <w:ind w:left="120"/>
        <w:jc w:val="center"/>
        <w:rPr>
          <w:lang w:val="ru-RU"/>
        </w:rPr>
      </w:pPr>
      <w:bookmarkStart w:id="0" w:name="block-45165887"/>
      <w:r w:rsidRPr="00197A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205D" w:rsidRPr="00197A14" w:rsidRDefault="00197A14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197A14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6205D" w:rsidRPr="00197A14" w:rsidRDefault="00197A14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197A14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</w:p>
    <w:p w:rsidR="0086205D" w:rsidRDefault="00197A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86205D" w:rsidRDefault="0086205D">
      <w:pPr>
        <w:spacing w:after="0"/>
        <w:ind w:left="120"/>
      </w:pPr>
    </w:p>
    <w:p w:rsidR="0086205D" w:rsidRDefault="0086205D">
      <w:pPr>
        <w:spacing w:after="0"/>
        <w:ind w:left="120"/>
      </w:pPr>
    </w:p>
    <w:tbl>
      <w:tblPr>
        <w:tblW w:w="0" w:type="auto"/>
        <w:tblInd w:w="534" w:type="dxa"/>
        <w:tblLook w:val="04A0"/>
      </w:tblPr>
      <w:tblGrid>
        <w:gridCol w:w="3402"/>
        <w:gridCol w:w="3373"/>
        <w:gridCol w:w="3115"/>
      </w:tblGrid>
      <w:tr w:rsidR="00AB42C3" w:rsidRPr="0040209D" w:rsidTr="00CB78A4">
        <w:tc>
          <w:tcPr>
            <w:tcW w:w="3402" w:type="dxa"/>
          </w:tcPr>
          <w:p w:rsidR="00AB42C3" w:rsidRPr="0040209D" w:rsidRDefault="00AB42C3" w:rsidP="00CB78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B42C3" w:rsidRPr="008944ED" w:rsidRDefault="00AB42C3" w:rsidP="00CB7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научного</w:t>
            </w:r>
            <w:proofErr w:type="spellEnd"/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цикла</w:t>
            </w:r>
          </w:p>
          <w:p w:rsidR="00AB42C3" w:rsidRDefault="00AB42C3" w:rsidP="00CB78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AB42C3" w:rsidRPr="008944ED" w:rsidRDefault="00AB42C3" w:rsidP="00CB78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AB42C3" w:rsidRDefault="00AB42C3" w:rsidP="00CB7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</w:t>
            </w:r>
          </w:p>
          <w:p w:rsidR="00AB42C3" w:rsidRPr="0040209D" w:rsidRDefault="00AB42C3" w:rsidP="00CB7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________________</w:t>
            </w:r>
          </w:p>
        </w:tc>
        <w:tc>
          <w:tcPr>
            <w:tcW w:w="3373" w:type="dxa"/>
          </w:tcPr>
          <w:p w:rsidR="00AB42C3" w:rsidRPr="0040209D" w:rsidRDefault="00AB42C3" w:rsidP="00CB7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B42C3" w:rsidRPr="008944ED" w:rsidRDefault="00AB42C3" w:rsidP="00CB7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AB42C3" w:rsidRDefault="00AB42C3" w:rsidP="00CB78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B42C3" w:rsidRDefault="00AB42C3" w:rsidP="00CB78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42C3" w:rsidRPr="008944ED" w:rsidRDefault="00AB42C3" w:rsidP="00CB78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AB42C3" w:rsidRDefault="00AB42C3" w:rsidP="00CB78A4">
            <w:pPr>
              <w:tabs>
                <w:tab w:val="left" w:pos="930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</w:p>
          <w:p w:rsidR="00AB42C3" w:rsidRPr="0040209D" w:rsidRDefault="00AB42C3" w:rsidP="00CB78A4">
            <w:pPr>
              <w:tabs>
                <w:tab w:val="left" w:pos="930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115" w:type="dxa"/>
          </w:tcPr>
          <w:p w:rsidR="00AB42C3" w:rsidRDefault="00AB42C3" w:rsidP="00CB7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B42C3" w:rsidRPr="008944ED" w:rsidRDefault="00AB42C3" w:rsidP="00CB78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B42C3" w:rsidRDefault="00AB42C3" w:rsidP="00CB78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B42C3" w:rsidRDefault="00AB42C3" w:rsidP="00CB78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42C3" w:rsidRPr="008944ED" w:rsidRDefault="00AB42C3" w:rsidP="00CB78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AB42C3" w:rsidRDefault="00AB42C3" w:rsidP="00CB7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</w:t>
            </w:r>
          </w:p>
          <w:p w:rsidR="00AB42C3" w:rsidRPr="0040209D" w:rsidRDefault="00AB42C3" w:rsidP="00CB78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</w:tc>
      </w:tr>
    </w:tbl>
    <w:p w:rsidR="0086205D" w:rsidRDefault="0086205D">
      <w:pPr>
        <w:spacing w:after="0"/>
        <w:ind w:left="120"/>
      </w:pPr>
    </w:p>
    <w:p w:rsidR="0086205D" w:rsidRPr="00197A14" w:rsidRDefault="0086205D">
      <w:pPr>
        <w:spacing w:after="0"/>
        <w:ind w:left="120"/>
        <w:rPr>
          <w:lang w:val="ru-RU"/>
        </w:rPr>
      </w:pPr>
    </w:p>
    <w:p w:rsidR="0086205D" w:rsidRPr="00197A14" w:rsidRDefault="0086205D">
      <w:pPr>
        <w:spacing w:after="0"/>
        <w:ind w:left="120"/>
        <w:rPr>
          <w:lang w:val="ru-RU"/>
        </w:rPr>
      </w:pPr>
    </w:p>
    <w:p w:rsidR="0086205D" w:rsidRPr="00197A14" w:rsidRDefault="0086205D">
      <w:pPr>
        <w:spacing w:after="0"/>
        <w:ind w:left="120"/>
        <w:rPr>
          <w:lang w:val="ru-RU"/>
        </w:rPr>
      </w:pPr>
    </w:p>
    <w:p w:rsidR="0086205D" w:rsidRDefault="0086205D">
      <w:pPr>
        <w:spacing w:after="0"/>
        <w:ind w:left="120"/>
        <w:rPr>
          <w:lang w:val="ru-RU"/>
        </w:rPr>
      </w:pPr>
    </w:p>
    <w:p w:rsidR="00197A14" w:rsidRDefault="00197A14">
      <w:pPr>
        <w:spacing w:after="0"/>
        <w:ind w:left="120"/>
        <w:rPr>
          <w:lang w:val="ru-RU"/>
        </w:rPr>
      </w:pPr>
    </w:p>
    <w:p w:rsidR="00197A14" w:rsidRDefault="00197A14">
      <w:pPr>
        <w:spacing w:after="0"/>
        <w:ind w:left="120"/>
        <w:rPr>
          <w:lang w:val="ru-RU"/>
        </w:rPr>
      </w:pPr>
    </w:p>
    <w:p w:rsidR="00197A14" w:rsidRPr="00197A14" w:rsidRDefault="00197A14">
      <w:pPr>
        <w:spacing w:after="0"/>
        <w:ind w:left="120"/>
        <w:rPr>
          <w:lang w:val="ru-RU"/>
        </w:rPr>
      </w:pPr>
    </w:p>
    <w:p w:rsidR="0086205D" w:rsidRPr="00197A14" w:rsidRDefault="0086205D">
      <w:pPr>
        <w:spacing w:after="0"/>
        <w:ind w:left="120"/>
        <w:rPr>
          <w:lang w:val="ru-RU"/>
        </w:rPr>
      </w:pPr>
    </w:p>
    <w:p w:rsidR="0086205D" w:rsidRPr="00197A14" w:rsidRDefault="00197A14">
      <w:pPr>
        <w:spacing w:after="0" w:line="408" w:lineRule="auto"/>
        <w:ind w:left="120"/>
        <w:jc w:val="center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205D" w:rsidRPr="00197A14" w:rsidRDefault="00197A14">
      <w:pPr>
        <w:spacing w:after="0" w:line="408" w:lineRule="auto"/>
        <w:ind w:left="120"/>
        <w:jc w:val="center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5949108)</w:t>
      </w:r>
    </w:p>
    <w:p w:rsidR="0086205D" w:rsidRPr="00197A14" w:rsidRDefault="0086205D">
      <w:pPr>
        <w:spacing w:after="0"/>
        <w:ind w:left="120"/>
        <w:jc w:val="center"/>
        <w:rPr>
          <w:lang w:val="ru-RU"/>
        </w:rPr>
      </w:pPr>
    </w:p>
    <w:p w:rsidR="0086205D" w:rsidRPr="00197A14" w:rsidRDefault="00197A14">
      <w:pPr>
        <w:spacing w:after="0" w:line="408" w:lineRule="auto"/>
        <w:ind w:left="120"/>
        <w:jc w:val="center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197A14">
        <w:rPr>
          <w:rFonts w:ascii="Times New Roman" w:hAnsi="Times New Roman"/>
          <w:color w:val="000000"/>
          <w:sz w:val="28"/>
          <w:lang w:val="ru-RU"/>
        </w:rPr>
        <w:t>«</w:t>
      </w:r>
      <w:r w:rsidRPr="00197A14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86205D" w:rsidRPr="00197A14" w:rsidRDefault="00197A14">
      <w:pPr>
        <w:spacing w:after="0" w:line="408" w:lineRule="auto"/>
        <w:ind w:left="120"/>
        <w:jc w:val="center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86205D" w:rsidRPr="00197A14" w:rsidRDefault="0086205D">
      <w:pPr>
        <w:spacing w:after="0"/>
        <w:ind w:left="120"/>
        <w:jc w:val="center"/>
        <w:rPr>
          <w:lang w:val="ru-RU"/>
        </w:rPr>
      </w:pPr>
    </w:p>
    <w:p w:rsidR="0086205D" w:rsidRPr="00197A14" w:rsidRDefault="0086205D">
      <w:pPr>
        <w:spacing w:after="0"/>
        <w:ind w:left="120"/>
        <w:jc w:val="center"/>
        <w:rPr>
          <w:lang w:val="ru-RU"/>
        </w:rPr>
      </w:pPr>
    </w:p>
    <w:p w:rsidR="0086205D" w:rsidRPr="00197A14" w:rsidRDefault="0086205D">
      <w:pPr>
        <w:spacing w:after="0"/>
        <w:ind w:left="120"/>
        <w:jc w:val="center"/>
        <w:rPr>
          <w:lang w:val="ru-RU"/>
        </w:rPr>
      </w:pPr>
    </w:p>
    <w:p w:rsidR="0086205D" w:rsidRPr="00197A14" w:rsidRDefault="0086205D">
      <w:pPr>
        <w:spacing w:after="0"/>
        <w:ind w:left="120"/>
        <w:jc w:val="center"/>
        <w:rPr>
          <w:lang w:val="ru-RU"/>
        </w:rPr>
      </w:pPr>
    </w:p>
    <w:p w:rsidR="0086205D" w:rsidRPr="00197A14" w:rsidRDefault="0086205D">
      <w:pPr>
        <w:spacing w:after="0"/>
        <w:ind w:left="120"/>
        <w:jc w:val="center"/>
        <w:rPr>
          <w:lang w:val="ru-RU"/>
        </w:rPr>
      </w:pPr>
    </w:p>
    <w:p w:rsidR="0086205D" w:rsidRPr="00197A14" w:rsidRDefault="0086205D">
      <w:pPr>
        <w:spacing w:after="0"/>
        <w:ind w:left="120"/>
        <w:jc w:val="center"/>
        <w:rPr>
          <w:lang w:val="ru-RU"/>
        </w:rPr>
      </w:pPr>
    </w:p>
    <w:p w:rsidR="0086205D" w:rsidRDefault="00197A14" w:rsidP="00197A14">
      <w:pPr>
        <w:tabs>
          <w:tab w:val="left" w:pos="4710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197A14" w:rsidRPr="00197A14" w:rsidRDefault="00197A14" w:rsidP="00197A14">
      <w:pPr>
        <w:tabs>
          <w:tab w:val="left" w:pos="4710"/>
        </w:tabs>
        <w:spacing w:after="0"/>
        <w:ind w:left="120"/>
        <w:rPr>
          <w:lang w:val="ru-RU"/>
        </w:rPr>
      </w:pPr>
    </w:p>
    <w:p w:rsidR="0086205D" w:rsidRPr="00197A14" w:rsidRDefault="0086205D" w:rsidP="00197A14">
      <w:pPr>
        <w:spacing w:after="0"/>
        <w:rPr>
          <w:lang w:val="ru-RU"/>
        </w:rPr>
      </w:pPr>
    </w:p>
    <w:p w:rsidR="0086205D" w:rsidRPr="00197A14" w:rsidRDefault="00197A14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197A14">
        <w:rPr>
          <w:rFonts w:ascii="Times New Roman" w:hAnsi="Times New Roman"/>
          <w:b/>
          <w:color w:val="000000"/>
          <w:sz w:val="28"/>
          <w:lang w:val="ru-RU"/>
        </w:rPr>
        <w:t>х. Качалин</w:t>
      </w:r>
      <w:bookmarkEnd w:id="3"/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r w:rsidRPr="00197A14">
        <w:rPr>
          <w:rFonts w:ascii="Times New Roman" w:hAnsi="Times New Roman"/>
          <w:b/>
          <w:color w:val="000000"/>
          <w:sz w:val="28"/>
          <w:lang w:val="ru-RU"/>
        </w:rPr>
        <w:t>2024-2025гг</w:t>
      </w:r>
      <w:bookmarkEnd w:id="4"/>
    </w:p>
    <w:p w:rsidR="0086205D" w:rsidRPr="00197A14" w:rsidRDefault="0086205D">
      <w:pPr>
        <w:rPr>
          <w:lang w:val="ru-RU"/>
        </w:rPr>
        <w:sectPr w:rsidR="0086205D" w:rsidRPr="00197A14" w:rsidSect="00197A1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bookmarkStart w:id="5" w:name="block-45165886"/>
      <w:bookmarkEnd w:id="0"/>
      <w:r w:rsidRPr="00197A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197A1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spellEnd"/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>:</w:t>
      </w:r>
    </w:p>
    <w:p w:rsidR="0086205D" w:rsidRPr="00EA5B1F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 w:rsidRPr="00EA5B1F">
        <w:rPr>
          <w:rFonts w:ascii="Times New Roman" w:hAnsi="Times New Roman"/>
          <w:color w:val="000000"/>
          <w:sz w:val="28"/>
          <w:lang w:val="ru-RU"/>
        </w:rPr>
        <w:t>России как составной части мирового сообщества;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4) развитие познавательных интересов, навыков самопознания, интеллектуальных и творческих способностей в процессе овладения комплексом </w:t>
      </w: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географических знаний и умений, направленных на использование их в реальной действительности;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86205D" w:rsidRPr="00197A14" w:rsidRDefault="0086205D">
      <w:pPr>
        <w:rPr>
          <w:lang w:val="ru-RU"/>
        </w:rPr>
        <w:sectPr w:rsidR="0086205D" w:rsidRPr="00197A14" w:rsidSect="00197A14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bookmarkStart w:id="6" w:name="block-45165891"/>
      <w:bookmarkEnd w:id="5"/>
      <w:r w:rsidRPr="00197A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86205D" w:rsidRPr="00197A14" w:rsidRDefault="0086205D">
      <w:pPr>
        <w:spacing w:after="0" w:line="264" w:lineRule="auto"/>
        <w:ind w:left="120"/>
        <w:jc w:val="both"/>
        <w:rPr>
          <w:lang w:val="ru-RU"/>
        </w:rPr>
      </w:pPr>
    </w:p>
    <w:p w:rsidR="0086205D" w:rsidRPr="00197A14" w:rsidRDefault="00197A14">
      <w:pPr>
        <w:spacing w:after="0" w:line="264" w:lineRule="auto"/>
        <w:ind w:left="12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6205D" w:rsidRPr="00197A14" w:rsidRDefault="0086205D">
      <w:pPr>
        <w:spacing w:after="0" w:line="264" w:lineRule="auto"/>
        <w:ind w:left="120"/>
        <w:jc w:val="both"/>
        <w:rPr>
          <w:lang w:val="ru-RU"/>
        </w:rPr>
      </w:pP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197A1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197A14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197A14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197A1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197A14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</w:t>
      </w: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России. </w:t>
      </w:r>
      <w:proofErr w:type="spellStart"/>
      <w:r w:rsidRPr="00EA5B1F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EA5B1F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хозяйство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>пределение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Промышленность мира.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Животноводство. Ведущие экспортёры и импортёры продукции животноводства. Рыболовство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lastRenderedPageBreak/>
        <w:t>Сфера нематериального производства. Мировой транспорт. Роль разных видов транспорта в современном мире.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86205D" w:rsidRPr="00197A14" w:rsidRDefault="0086205D">
      <w:pPr>
        <w:spacing w:after="0" w:line="264" w:lineRule="auto"/>
        <w:ind w:left="120"/>
        <w:jc w:val="both"/>
        <w:rPr>
          <w:lang w:val="ru-RU"/>
        </w:rPr>
      </w:pPr>
    </w:p>
    <w:p w:rsidR="0086205D" w:rsidRPr="00197A14" w:rsidRDefault="00197A14">
      <w:pPr>
        <w:spacing w:after="0" w:line="264" w:lineRule="auto"/>
        <w:ind w:left="12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6205D" w:rsidRPr="00197A14" w:rsidRDefault="0086205D">
      <w:pPr>
        <w:spacing w:after="0" w:line="264" w:lineRule="auto"/>
        <w:ind w:left="120"/>
        <w:jc w:val="both"/>
        <w:rPr>
          <w:lang w:val="ru-RU"/>
        </w:rPr>
      </w:pP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1. Сравнение по уровню социально-экономического развития стран различных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197A14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proofErr w:type="gramEnd"/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197A14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197A14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. Экономические и социальные проблемы региона.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proofErr w:type="gramEnd"/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</w:t>
      </w:r>
      <w:proofErr w:type="spellStart"/>
      <w:r w:rsidRPr="00197A14">
        <w:rPr>
          <w:rFonts w:ascii="Times New Roman" w:hAnsi="Times New Roman"/>
          <w:b/>
          <w:color w:val="000000"/>
          <w:sz w:val="28"/>
          <w:lang w:val="ru-RU"/>
        </w:rPr>
        <w:t>геоэкономической</w:t>
      </w:r>
      <w:proofErr w:type="spellEnd"/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197A14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197A14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1. Изменение направления международных экономических связей России в новых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геоэкономических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и геополитических условиях.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. Проблема загрязнения Мирового океана и освоения его ресурсов.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глобальных геополитических, экологических проблем и проблем народонаселения.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86205D" w:rsidRPr="00197A14" w:rsidRDefault="0086205D">
      <w:pPr>
        <w:rPr>
          <w:lang w:val="ru-RU"/>
        </w:rPr>
        <w:sectPr w:rsidR="0086205D" w:rsidRPr="00197A14" w:rsidSect="00197A14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bookmarkStart w:id="7" w:name="block-45165892"/>
      <w:bookmarkEnd w:id="6"/>
      <w:r w:rsidRPr="00197A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86205D" w:rsidRPr="00197A14" w:rsidRDefault="00197A14">
      <w:pPr>
        <w:spacing w:after="0" w:line="264" w:lineRule="auto"/>
        <w:ind w:left="12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86205D" w:rsidRDefault="00197A1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86205D" w:rsidRPr="00197A14" w:rsidRDefault="00197A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86205D" w:rsidRPr="00197A14" w:rsidRDefault="00197A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86205D" w:rsidRPr="00197A14" w:rsidRDefault="00197A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6205D" w:rsidRPr="00197A14" w:rsidRDefault="00197A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86205D" w:rsidRPr="00197A14" w:rsidRDefault="00197A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6205D" w:rsidRPr="00197A14" w:rsidRDefault="00197A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86205D" w:rsidRDefault="00197A1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6205D" w:rsidRPr="00197A14" w:rsidRDefault="00197A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6205D" w:rsidRPr="00197A14" w:rsidRDefault="00197A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86205D" w:rsidRDefault="00197A1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6205D" w:rsidRPr="00197A14" w:rsidRDefault="00197A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86205D" w:rsidRPr="00197A14" w:rsidRDefault="00197A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6205D" w:rsidRPr="00197A14" w:rsidRDefault="00197A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86205D" w:rsidRPr="00197A14" w:rsidRDefault="00197A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6205D" w:rsidRDefault="00197A1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86205D" w:rsidRPr="00197A14" w:rsidRDefault="00197A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6205D" w:rsidRPr="00197A14" w:rsidRDefault="00197A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6205D" w:rsidRPr="00197A14" w:rsidRDefault="00197A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86205D" w:rsidRDefault="00197A1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86205D" w:rsidRPr="00197A14" w:rsidRDefault="00197A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86205D" w:rsidRPr="00197A14" w:rsidRDefault="00197A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86205D" w:rsidRPr="00197A14" w:rsidRDefault="00197A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:rsidR="0086205D" w:rsidRDefault="00197A1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86205D" w:rsidRPr="00197A14" w:rsidRDefault="00197A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86205D" w:rsidRPr="00197A14" w:rsidRDefault="00197A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86205D" w:rsidRDefault="00197A1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6205D" w:rsidRPr="00197A14" w:rsidRDefault="00197A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86205D" w:rsidRPr="00197A14" w:rsidRDefault="00197A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86205D" w:rsidRPr="00197A14" w:rsidRDefault="00197A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6205D" w:rsidRDefault="00197A1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86205D" w:rsidRPr="00197A14" w:rsidRDefault="00197A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86205D" w:rsidRPr="00197A14" w:rsidRDefault="00197A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86205D" w:rsidRPr="00197A14" w:rsidRDefault="00197A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86205D" w:rsidRPr="00197A14" w:rsidRDefault="00197A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86205D" w:rsidRDefault="00197A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86205D" w:rsidRPr="00197A14" w:rsidRDefault="00197A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86205D" w:rsidRPr="00197A14" w:rsidRDefault="00197A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достижения; </w:t>
      </w:r>
    </w:p>
    <w:p w:rsidR="0086205D" w:rsidRPr="00197A14" w:rsidRDefault="00197A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86205D" w:rsidRPr="00197A14" w:rsidRDefault="00197A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86205D" w:rsidRPr="00197A14" w:rsidRDefault="00197A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деятельность, оценивать соответствие результатов целям;</w:t>
      </w:r>
    </w:p>
    <w:p w:rsidR="0086205D" w:rsidRPr="00197A14" w:rsidRDefault="00197A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86205D" w:rsidRPr="00197A14" w:rsidRDefault="00197A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86205D" w:rsidRDefault="00197A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86205D" w:rsidRPr="00197A14" w:rsidRDefault="00197A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86205D" w:rsidRDefault="00197A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86205D" w:rsidRPr="00197A14" w:rsidRDefault="00197A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86205D" w:rsidRDefault="00197A14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86205D" w:rsidRPr="00197A14" w:rsidRDefault="00197A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6205D" w:rsidRPr="00197A14" w:rsidRDefault="00197A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распознавания и защиты информации, информационной безопасности личности;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86205D" w:rsidRPr="00197A14" w:rsidRDefault="00197A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86205D" w:rsidRPr="00197A14" w:rsidRDefault="00197A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86205D" w:rsidRPr="00197A14" w:rsidRDefault="00197A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86205D" w:rsidRPr="00197A14" w:rsidRDefault="00197A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86205D" w:rsidRDefault="00197A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86205D" w:rsidRPr="00197A14" w:rsidRDefault="00197A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86205D" w:rsidRPr="00197A14" w:rsidRDefault="00197A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86205D" w:rsidRPr="00197A14" w:rsidRDefault="00197A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86205D" w:rsidRPr="00197A14" w:rsidRDefault="00197A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6205D" w:rsidRPr="00197A14" w:rsidRDefault="00197A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86205D" w:rsidRPr="00197A14" w:rsidRDefault="00197A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6205D" w:rsidRPr="00197A14" w:rsidRDefault="00197A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6205D" w:rsidRDefault="00197A14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6205D" w:rsidRPr="00197A14" w:rsidRDefault="00197A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6205D" w:rsidRPr="00197A14" w:rsidRDefault="00197A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86205D" w:rsidRDefault="00197A14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6205D" w:rsidRPr="00197A14" w:rsidRDefault="00197A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86205D" w:rsidRDefault="00197A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86205D" w:rsidRPr="00197A14" w:rsidRDefault="00197A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86205D" w:rsidRPr="00197A14" w:rsidRDefault="00197A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86205D" w:rsidRPr="00197A14" w:rsidRDefault="00197A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86205D" w:rsidRPr="00197A14" w:rsidRDefault="00197A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86205D" w:rsidRPr="00197A14" w:rsidRDefault="00197A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197A14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6205D" w:rsidRPr="00197A14" w:rsidRDefault="00197A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86205D" w:rsidRPr="00197A14" w:rsidRDefault="00197A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6205D" w:rsidRPr="00197A14" w:rsidRDefault="00197A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6205D" w:rsidRPr="00197A14" w:rsidRDefault="00197A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6205D" w:rsidRPr="00197A14" w:rsidRDefault="00197A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86205D" w:rsidRPr="00197A14" w:rsidRDefault="00197A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6205D" w:rsidRPr="00197A14" w:rsidRDefault="00197A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6205D" w:rsidRPr="00197A14" w:rsidRDefault="00197A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86205D" w:rsidRPr="00197A14" w:rsidRDefault="00197A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</w:t>
      </w: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производству основных видов промышленной и сельскохозяйственной продукции, основных международных магистралей и транспортных узлов, стран-лидеров по запасам минеральных, лесных, земельных, водных ресурсов;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</w:t>
      </w: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системы, адекватные решаемым задачам;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источников: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</w:t>
      </w: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регионах мира, изменения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>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ложная </w:t>
      </w: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урбанизация;</w:t>
      </w:r>
      <w:proofErr w:type="gram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7A14">
        <w:rPr>
          <w:rFonts w:ascii="Times New Roman" w:hAnsi="Times New Roman"/>
          <w:color w:val="000000"/>
          <w:sz w:val="28"/>
          <w:lang w:val="ru-RU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системы), адекватные решаемым задачам;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</w:t>
      </w:r>
      <w:r w:rsidRPr="00197A14">
        <w:rPr>
          <w:rFonts w:ascii="Times New Roman" w:hAnsi="Times New Roman"/>
          <w:color w:val="000000"/>
          <w:sz w:val="28"/>
          <w:lang w:val="ru-RU"/>
        </w:rPr>
        <w:lastRenderedPageBreak/>
        <w:t>глобальных проблем человечества и их проявления на территории (в том числе и России);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и интерпретировать информацию, получаемую из различных источников; 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86205D" w:rsidRPr="00197A14" w:rsidRDefault="00197A14">
      <w:pPr>
        <w:spacing w:after="0" w:line="264" w:lineRule="auto"/>
        <w:ind w:firstLine="600"/>
        <w:jc w:val="both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197A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97A14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86205D" w:rsidRPr="00197A14" w:rsidRDefault="0086205D">
      <w:pPr>
        <w:rPr>
          <w:lang w:val="ru-RU"/>
        </w:rPr>
        <w:sectPr w:rsidR="0086205D" w:rsidRPr="00197A14" w:rsidSect="00197A14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6205D" w:rsidRDefault="00197A14">
      <w:pPr>
        <w:spacing w:after="0"/>
        <w:ind w:left="120"/>
      </w:pPr>
      <w:bookmarkStart w:id="8" w:name="block-45165889"/>
      <w:bookmarkEnd w:id="7"/>
      <w:r w:rsidRPr="00197A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205D" w:rsidRDefault="00197A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86205D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  <w:tr w:rsidR="0086205D" w:rsidRPr="00AB42C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197A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</w:tbl>
    <w:p w:rsidR="0086205D" w:rsidRDefault="0086205D">
      <w:pPr>
        <w:sectPr w:rsidR="0086205D" w:rsidSect="00197A14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86205D" w:rsidRDefault="00197A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7"/>
        <w:gridCol w:w="4514"/>
        <w:gridCol w:w="2883"/>
        <w:gridCol w:w="4636"/>
      </w:tblGrid>
      <w:tr w:rsidR="0086205D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</w:tr>
      <w:tr w:rsidR="0086205D" w:rsidRPr="00AB42C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A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86205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86205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</w:tbl>
    <w:p w:rsidR="0086205D" w:rsidRDefault="0086205D">
      <w:pPr>
        <w:sectPr w:rsidR="0086205D" w:rsidSect="00197A14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86205D" w:rsidRDefault="0086205D">
      <w:pPr>
        <w:sectPr w:rsidR="0086205D" w:rsidSect="00197A14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45165888"/>
      <w:bookmarkEnd w:id="8"/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42C3" w:rsidRDefault="00AB42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205D" w:rsidRDefault="00197A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205D" w:rsidRDefault="00197A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788"/>
        <w:gridCol w:w="2701"/>
        <w:gridCol w:w="1764"/>
        <w:gridCol w:w="2749"/>
      </w:tblGrid>
      <w:tr w:rsidR="0086205D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  <w:proofErr w:type="gram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пасные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</w:t>
            </w: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 </w:t>
            </w:r>
            <w:proofErr w:type="gram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перехода. </w:t>
            </w: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EA5B1F" w:rsidRDefault="00EA5B1F">
            <w:pPr>
              <w:spacing w:after="0"/>
              <w:ind w:left="135"/>
            </w:pPr>
          </w:p>
          <w:p w:rsidR="00EA5B1F" w:rsidRDefault="00EA5B1F" w:rsidP="00EA5B1F"/>
          <w:p w:rsidR="00EA5B1F" w:rsidRDefault="00EA5B1F" w:rsidP="00EA5B1F"/>
          <w:p w:rsidR="0086205D" w:rsidRPr="00EA5B1F" w:rsidRDefault="0086205D" w:rsidP="00EA5B1F"/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</w:t>
            </w: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ресурсов. Страны-лидеры по запасам и добыче нефти, природного газа и угля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животноводство. География</w:t>
            </w:r>
            <w:proofErr w:type="gram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узлыМировая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НИОКР/ Всероссийская проверочная работа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система НИОКР/ Всероссийская проверочная работа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</w:tbl>
    <w:p w:rsidR="0086205D" w:rsidRDefault="0086205D">
      <w:pPr>
        <w:sectPr w:rsidR="0086205D" w:rsidSect="00197A14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86205D" w:rsidRDefault="00197A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703"/>
        <w:gridCol w:w="2750"/>
        <w:gridCol w:w="1811"/>
        <w:gridCol w:w="2809"/>
      </w:tblGrid>
      <w:tr w:rsidR="0086205D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205D" w:rsidRDefault="008620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05D" w:rsidRDefault="0086205D"/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зарубежной Европы с использованием источников географической информации"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характеристика. Юго-Западная Азия. </w:t>
            </w: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Иран: общая экономико-географическая характеристика. Современные проблемы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: Северная Америка, Латинская Америка: общая экономико-географическая характеристика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экономико-географическая характеристика. Особенности. Экономические и социальные проблемы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. Последствия колониализма в экономике Африке.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Африка. Особенности природно-ресурсного капитала, населения </w:t>
            </w: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хозяйства Алжира и Египта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Африка, 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направления международных </w:t>
            </w: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экономических связей России в новых </w:t>
            </w:r>
            <w:proofErr w:type="spellStart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геоэкономических</w:t>
            </w:r>
            <w:proofErr w:type="spellEnd"/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геополитических условиях"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86205D" w:rsidRDefault="0086205D">
            <w:pPr>
              <w:spacing w:after="0"/>
              <w:ind w:left="135"/>
            </w:pPr>
          </w:p>
        </w:tc>
      </w:tr>
      <w:tr w:rsidR="008620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Pr="00197A14" w:rsidRDefault="00197A14">
            <w:pPr>
              <w:spacing w:after="0"/>
              <w:ind w:left="135"/>
              <w:rPr>
                <w:lang w:val="ru-RU"/>
              </w:rPr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:rsidR="0086205D" w:rsidRDefault="00197A14">
            <w:pPr>
              <w:spacing w:after="0"/>
              <w:ind w:left="135"/>
              <w:jc w:val="center"/>
            </w:pPr>
            <w:r w:rsidRPr="00197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05D" w:rsidRDefault="0086205D"/>
        </w:tc>
      </w:tr>
    </w:tbl>
    <w:p w:rsidR="0086205D" w:rsidRDefault="0086205D">
      <w:pPr>
        <w:sectPr w:rsidR="0086205D" w:rsidSect="00197A14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86205D" w:rsidRDefault="0086205D">
      <w:pPr>
        <w:sectPr w:rsidR="0086205D" w:rsidSect="00197A14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86205D" w:rsidRDefault="00197A14">
      <w:pPr>
        <w:spacing w:after="0"/>
        <w:ind w:left="120"/>
      </w:pPr>
      <w:bookmarkStart w:id="10" w:name="block-451658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205D" w:rsidRDefault="00197A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205D" w:rsidRPr="00197A14" w:rsidRDefault="00197A14">
      <w:pPr>
        <w:spacing w:after="0" w:line="480" w:lineRule="auto"/>
        <w:ind w:left="120"/>
        <w:rPr>
          <w:lang w:val="ru-RU"/>
        </w:rPr>
      </w:pPr>
      <w:r w:rsidRPr="00197A14">
        <w:rPr>
          <w:rFonts w:ascii="Times New Roman" w:hAnsi="Times New Roman"/>
          <w:color w:val="000000"/>
          <w:sz w:val="28"/>
          <w:lang w:val="ru-RU"/>
        </w:rPr>
        <w:t>• География 10 класс/ Гладкий Ю.Н., Николина В.В. Акционерное общество «Издательство «Просвещение»</w:t>
      </w:r>
      <w:r w:rsidRPr="00197A14">
        <w:rPr>
          <w:sz w:val="28"/>
          <w:lang w:val="ru-RU"/>
        </w:rPr>
        <w:br/>
      </w:r>
      <w:bookmarkStart w:id="11" w:name="7a5bb61c-2e1e-4c92-8fe7-f576740d0c55"/>
      <w:r w:rsidRPr="00197A14">
        <w:rPr>
          <w:rFonts w:ascii="Times New Roman" w:hAnsi="Times New Roman"/>
          <w:color w:val="000000"/>
          <w:sz w:val="28"/>
          <w:lang w:val="ru-RU"/>
        </w:rPr>
        <w:t xml:space="preserve"> • География 11 класс/ Гладкий Ю.Н., Николина В.В. Акционерное общество «Издательство «Просвещение»</w:t>
      </w:r>
      <w:bookmarkEnd w:id="11"/>
    </w:p>
    <w:p w:rsidR="0086205D" w:rsidRPr="00197A14" w:rsidRDefault="0086205D">
      <w:pPr>
        <w:spacing w:after="0" w:line="480" w:lineRule="auto"/>
        <w:ind w:left="120"/>
        <w:rPr>
          <w:lang w:val="ru-RU"/>
        </w:rPr>
      </w:pPr>
    </w:p>
    <w:p w:rsidR="0086205D" w:rsidRPr="00197A14" w:rsidRDefault="0086205D">
      <w:pPr>
        <w:spacing w:after="0"/>
        <w:ind w:left="120"/>
        <w:rPr>
          <w:lang w:val="ru-RU"/>
        </w:rPr>
      </w:pPr>
    </w:p>
    <w:p w:rsidR="0086205D" w:rsidRPr="00197A14" w:rsidRDefault="00197A14">
      <w:pPr>
        <w:spacing w:after="0" w:line="480" w:lineRule="auto"/>
        <w:ind w:left="120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6205D" w:rsidRPr="00197A14" w:rsidRDefault="0086205D">
      <w:pPr>
        <w:spacing w:after="0" w:line="480" w:lineRule="auto"/>
        <w:ind w:left="120"/>
        <w:rPr>
          <w:lang w:val="ru-RU"/>
        </w:rPr>
      </w:pPr>
    </w:p>
    <w:p w:rsidR="0086205D" w:rsidRPr="00197A14" w:rsidRDefault="0086205D">
      <w:pPr>
        <w:spacing w:after="0"/>
        <w:ind w:left="120"/>
        <w:rPr>
          <w:lang w:val="ru-RU"/>
        </w:rPr>
      </w:pPr>
    </w:p>
    <w:p w:rsidR="0086205D" w:rsidRPr="00197A14" w:rsidRDefault="00197A14">
      <w:pPr>
        <w:spacing w:after="0" w:line="480" w:lineRule="auto"/>
        <w:ind w:left="120"/>
        <w:rPr>
          <w:lang w:val="ru-RU"/>
        </w:rPr>
      </w:pPr>
      <w:r w:rsidRPr="00197A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205D" w:rsidRPr="00197A14" w:rsidRDefault="0086205D">
      <w:pPr>
        <w:rPr>
          <w:lang w:val="ru-RU"/>
        </w:rPr>
        <w:sectPr w:rsidR="0086205D" w:rsidRPr="00197A14" w:rsidSect="00197A14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bookmarkEnd w:id="10"/>
    <w:p w:rsidR="00197A14" w:rsidRPr="00197A14" w:rsidRDefault="00197A14">
      <w:pPr>
        <w:rPr>
          <w:lang w:val="ru-RU"/>
        </w:rPr>
      </w:pPr>
    </w:p>
    <w:sectPr w:rsidR="00197A14" w:rsidRPr="00197A14" w:rsidSect="00197A14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95E"/>
    <w:multiLevelType w:val="multilevel"/>
    <w:tmpl w:val="BE5A0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70CB2"/>
    <w:multiLevelType w:val="multilevel"/>
    <w:tmpl w:val="85F8D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F7D12"/>
    <w:multiLevelType w:val="multilevel"/>
    <w:tmpl w:val="D02A8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640F99"/>
    <w:multiLevelType w:val="multilevel"/>
    <w:tmpl w:val="0212D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0F25B6"/>
    <w:multiLevelType w:val="multilevel"/>
    <w:tmpl w:val="FFA29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C4388C"/>
    <w:multiLevelType w:val="multilevel"/>
    <w:tmpl w:val="4A1A3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E52792"/>
    <w:multiLevelType w:val="multilevel"/>
    <w:tmpl w:val="80A00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A3433E"/>
    <w:multiLevelType w:val="multilevel"/>
    <w:tmpl w:val="AA82D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D623DB"/>
    <w:multiLevelType w:val="multilevel"/>
    <w:tmpl w:val="76F05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D9079B"/>
    <w:multiLevelType w:val="multilevel"/>
    <w:tmpl w:val="368AD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2A42FD"/>
    <w:multiLevelType w:val="multilevel"/>
    <w:tmpl w:val="54909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0213B"/>
    <w:multiLevelType w:val="multilevel"/>
    <w:tmpl w:val="3A5EA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EE0921"/>
    <w:multiLevelType w:val="multilevel"/>
    <w:tmpl w:val="ACCCA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C8090C"/>
    <w:multiLevelType w:val="multilevel"/>
    <w:tmpl w:val="A412B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767026"/>
    <w:multiLevelType w:val="multilevel"/>
    <w:tmpl w:val="5D6A3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833B3"/>
    <w:multiLevelType w:val="multilevel"/>
    <w:tmpl w:val="1098D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1916E5"/>
    <w:multiLevelType w:val="multilevel"/>
    <w:tmpl w:val="10004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15"/>
  </w:num>
  <w:num w:numId="8">
    <w:abstractNumId w:val="10"/>
  </w:num>
  <w:num w:numId="9">
    <w:abstractNumId w:val="14"/>
  </w:num>
  <w:num w:numId="10">
    <w:abstractNumId w:val="6"/>
  </w:num>
  <w:num w:numId="11">
    <w:abstractNumId w:val="1"/>
  </w:num>
  <w:num w:numId="12">
    <w:abstractNumId w:val="11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205D"/>
    <w:rsid w:val="000013D8"/>
    <w:rsid w:val="00197A14"/>
    <w:rsid w:val="00606974"/>
    <w:rsid w:val="00724076"/>
    <w:rsid w:val="0076382E"/>
    <w:rsid w:val="0086205D"/>
    <w:rsid w:val="00AB42C3"/>
    <w:rsid w:val="00EA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20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2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9240</Words>
  <Characters>52674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</cp:lastModifiedBy>
  <cp:revision>7</cp:revision>
  <cp:lastPrinted>2024-10-22T11:59:00Z</cp:lastPrinted>
  <dcterms:created xsi:type="dcterms:W3CDTF">2024-10-11T06:48:00Z</dcterms:created>
  <dcterms:modified xsi:type="dcterms:W3CDTF">2024-10-22T12:01:00Z</dcterms:modified>
</cp:coreProperties>
</file>