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1"/>
        <w:jc w:val="center"/>
      </w:pPr>
      <w:r>
        <w:rPr>
          <w:b/>
          <w:bCs/>
          <w:sz w:val="28"/>
          <w:szCs w:val="28"/>
        </w:rPr>
        <w:t xml:space="preserve">Рекомендации</w:t>
      </w:r>
      <w:r/>
    </w:p>
    <w:p>
      <w:pPr>
        <w:pStyle w:val="881"/>
        <w:jc w:val="center"/>
      </w:pPr>
      <w:r>
        <w:rPr>
          <w:b/>
          <w:bCs/>
          <w:sz w:val="28"/>
          <w:szCs w:val="28"/>
        </w:rPr>
        <w:t xml:space="preserve">по проведению в организациях Республики Адыгея мероприятий, посвященных Всемирному дню охраны труда в 2026</w:t>
      </w:r>
      <w:r>
        <w:rPr>
          <w:b/>
          <w:bCs/>
          <w:sz w:val="28"/>
          <w:szCs w:val="28"/>
        </w:rPr>
        <w:t xml:space="preserve"> году</w:t>
      </w:r>
      <w:r/>
    </w:p>
    <w:p>
      <w:pPr>
        <w:pStyle w:val="881"/>
        <w:ind w:left="0" w:right="0" w:firstLine="709"/>
        <w:jc w:val="both"/>
        <w:widowControl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1"/>
        <w:ind w:left="0" w:right="0" w:firstLine="709"/>
        <w:jc w:val="both"/>
        <w:widowControl/>
      </w:pPr>
      <w:r>
        <w:rPr>
          <w:sz w:val="28"/>
          <w:szCs w:val="28"/>
        </w:rPr>
        <w:t xml:space="preserve">Мероприятия, посвященные </w:t>
      </w:r>
      <w:r>
        <w:rPr>
          <w:b w:val="0"/>
          <w:bCs w:val="0"/>
          <w:sz w:val="28"/>
          <w:szCs w:val="28"/>
        </w:rPr>
        <w:t xml:space="preserve">Всемирному дню охраны труда в 2026</w:t>
      </w:r>
      <w:r>
        <w:rPr>
          <w:b w:val="0"/>
          <w:bCs w:val="0"/>
          <w:sz w:val="28"/>
          <w:szCs w:val="28"/>
        </w:rPr>
        <w:t xml:space="preserve"> году,</w:t>
      </w:r>
      <w:r>
        <w:rPr>
          <w:sz w:val="28"/>
          <w:szCs w:val="28"/>
        </w:rPr>
        <w:t xml:space="preserve"> должны быть направ</w:t>
      </w:r>
      <w:r>
        <w:rPr>
          <w:sz w:val="28"/>
          <w:szCs w:val="28"/>
        </w:rPr>
        <w:t xml:space="preserve">лены на усиление внимания к проблемам охраны и безопасности труда, создание и совершенствование системы управления охраной труда на каждом предприятии, улучшение информированности работников о существующих производственных рисках и способах защиты от них. </w:t>
      </w:r>
      <w:r/>
    </w:p>
    <w:p>
      <w:pPr>
        <w:ind w:left="0" w:right="0" w:firstLine="709"/>
        <w:jc w:val="both"/>
        <w:widowControl/>
      </w:pPr>
      <w:r>
        <w:rPr>
          <w:sz w:val="28"/>
          <w:szCs w:val="28"/>
          <w:highlight w:val="none"/>
        </w:rPr>
        <w:t xml:space="preserve">В связи с этим  руководителям разного уровня рекомендуем:</w:t>
      </w:r>
      <w:r>
        <w:rPr>
          <w:sz w:val="28"/>
          <w:szCs w:val="28"/>
          <w:highlight w:val="none"/>
        </w:rPr>
      </w:r>
    </w:p>
    <w:p>
      <w:pPr>
        <w:pStyle w:val="881"/>
        <w:ind w:left="0" w:right="0" w:firstLine="709"/>
        <w:jc w:val="both"/>
        <w:widowControl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 Провести совещания по вопросам охраны и безопасности труда на производстве с засл</w:t>
      </w:r>
      <w:r>
        <w:rPr>
          <w:sz w:val="28"/>
          <w:szCs w:val="28"/>
        </w:rPr>
        <w:t xml:space="preserve">ушиванием отчётов должностных лиц, допустивших случаи травматизма работников на производстве, а также не уделяющих должного внимания вопросам охраны труда, довести до каждого руководителя работ – мастера, прораба и других информацию о том, что большинство </w:t>
      </w:r>
      <w:r>
        <w:rPr>
          <w:sz w:val="28"/>
          <w:szCs w:val="28"/>
        </w:rPr>
        <w:t xml:space="preserve">травм на производстве происходит по организационным причинам, не требующим для их устранения финансовых затрат. Наличие, знание и безусловное выполнение требований должностных инструкций и инструкций по охране труда обеспечивают работу без травм и аварий. </w:t>
      </w:r>
      <w:r/>
    </w:p>
    <w:p>
      <w:pPr>
        <w:pStyle w:val="881"/>
        <w:ind w:left="0" w:right="0" w:firstLine="709"/>
        <w:jc w:val="both"/>
        <w:widowControl/>
      </w:pPr>
      <w:r>
        <w:rPr>
          <w:sz w:val="28"/>
          <w:szCs w:val="28"/>
        </w:rPr>
        <w:t xml:space="preserve">2. Провести проверки состояния охраны труда на рабочих местах в каждом подразделении с акцентом на следующие вопросы: </w:t>
      </w:r>
      <w:r/>
    </w:p>
    <w:p>
      <w:pPr>
        <w:pStyle w:val="881"/>
        <w:ind w:left="0" w:right="0" w:firstLine="709"/>
        <w:jc w:val="both"/>
        <w:widowControl/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организация обучения безопасным методам и приемам выполнения работ, своевременность и качество проведения инструктажа по охране труда; </w:t>
      </w:r>
      <w:r/>
    </w:p>
    <w:p>
      <w:pPr>
        <w:pStyle w:val="881"/>
        <w:ind w:left="0" w:right="0" w:firstLine="709"/>
        <w:jc w:val="both"/>
        <w:widowControl/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выполнен</w:t>
      </w:r>
      <w:r>
        <w:rPr>
          <w:sz w:val="28"/>
          <w:szCs w:val="28"/>
        </w:rPr>
        <w:t xml:space="preserve">ие мероприятий по устранению причин, вызвавших несчастные случаи на производстве, выполнение предписаний органов государственного надзора и контроля за соблюдением требований охраны труда, других мероприятий по созданию здоровых и безопасных условий труда;</w:t>
      </w:r>
      <w:r/>
    </w:p>
    <w:p>
      <w:pPr>
        <w:pStyle w:val="881"/>
        <w:ind w:left="0" w:right="0" w:firstLine="709"/>
        <w:jc w:val="both"/>
        <w:widowControl/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правильность предоставления компенсаций за работу во вредных и (или) опасных условиях труда; </w:t>
      </w:r>
      <w:r/>
    </w:p>
    <w:p>
      <w:pPr>
        <w:pStyle w:val="881"/>
        <w:ind w:left="0" w:right="0" w:firstLine="709"/>
        <w:jc w:val="both"/>
        <w:widowControl/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соответствие условий труда женщин и лиц моложе 18 лет требованиям законодательства; </w:t>
      </w:r>
      <w:r/>
    </w:p>
    <w:p>
      <w:pPr>
        <w:pStyle w:val="881"/>
        <w:ind w:left="0" w:right="0" w:firstLine="709"/>
        <w:jc w:val="both"/>
        <w:widowControl/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состояние и использование санитарно-бытовых помещений и санитарно-гигиенических устройств; </w:t>
      </w:r>
      <w:r/>
    </w:p>
    <w:p>
      <w:pPr>
        <w:pStyle w:val="881"/>
        <w:ind w:left="0" w:right="0" w:firstLine="709"/>
        <w:jc w:val="both"/>
        <w:widowControl/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обеспеченность работников специальной одеждой, специальной обувью и другими средствами индивидуальной защиты и правильность их применения; </w:t>
      </w:r>
      <w:r/>
    </w:p>
    <w:p>
      <w:pPr>
        <w:pStyle w:val="881"/>
        <w:ind w:left="0" w:right="0" w:firstLine="709"/>
        <w:widowControl/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организация  хранения, выдачи,  стирки,  химической  чистки, сушки, обеспыливания и ремонта специальной одежды, специальной обуви и других средств индивидуальной защиты; </w:t>
      </w:r>
      <w:r/>
    </w:p>
    <w:p>
      <w:pPr>
        <w:pStyle w:val="881"/>
        <w:ind w:left="0" w:right="0" w:firstLine="709"/>
        <w:jc w:val="both"/>
        <w:widowControl/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необходимость внедрения в производство более совершенных технологий, новой техники, автоматизации и механизации производственных процессов с целью создания здоровых и безопасных условий труда и ликвидации тяжелых физических работ. </w:t>
      </w:r>
      <w:r/>
    </w:p>
    <w:p>
      <w:pPr>
        <w:pStyle w:val="881"/>
        <w:ind w:left="0" w:right="0" w:firstLine="709"/>
        <w:jc w:val="both"/>
        <w:widowControl/>
        <w:tabs>
          <w:tab w:val="left" w:pos="720" w:leader="none"/>
        </w:tabs>
      </w:pPr>
      <w:r>
        <w:rPr>
          <w:sz w:val="28"/>
          <w:szCs w:val="28"/>
        </w:rPr>
        <w:t xml:space="preserve">3. Уполномочить специалистов по охране труда, доверенных лиц по охране тру</w:t>
      </w:r>
      <w:r>
        <w:rPr>
          <w:sz w:val="28"/>
          <w:szCs w:val="28"/>
        </w:rPr>
        <w:t xml:space="preserve">да профсоюзов, членов комитетов (комиссий) по охране труда подготовить информационно-аналитические материалы о фактическом состоянии условий и охраны труда, провести анализ причин травматизма и заболеваемости на предприятии, в том числе по подразделениям. </w:t>
      </w:r>
      <w:r/>
    </w:p>
    <w:p>
      <w:pPr>
        <w:pStyle w:val="881"/>
        <w:ind w:left="0" w:right="0" w:firstLine="709"/>
        <w:jc w:val="both"/>
        <w:widowControl/>
      </w:pPr>
      <w:r>
        <w:rPr>
          <w:sz w:val="28"/>
          <w:szCs w:val="28"/>
        </w:rPr>
        <w:t xml:space="preserve">4. Организовать и провести  собрания, семинары, конференции, беседы по вопросам охраны труда с участием руководителей и специалистов, профсоюзного актива, на которых предлагается рассмотреть следующие вопросы: </w:t>
      </w:r>
      <w:r/>
    </w:p>
    <w:p>
      <w:pPr>
        <w:pStyle w:val="881"/>
        <w:ind w:left="0" w:right="0" w:firstLine="709"/>
        <w:jc w:val="both"/>
        <w:widowControl/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отчёт работодателя и профкома о выполнении условий коллективного договора и соглашения по охране труда;  </w:t>
      </w:r>
      <w:r/>
    </w:p>
    <w:p>
      <w:pPr>
        <w:pStyle w:val="881"/>
        <w:ind w:left="0" w:right="0" w:firstLine="709"/>
        <w:jc w:val="both"/>
        <w:widowControl/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итоги конкурсов по охране труда; </w:t>
      </w:r>
      <w:r/>
    </w:p>
    <w:p>
      <w:pPr>
        <w:pStyle w:val="881"/>
        <w:ind w:left="0" w:right="0" w:firstLine="709"/>
        <w:jc w:val="both"/>
        <w:widowControl/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итоги проведённых проверок состояния условий и охраны труда; </w:t>
      </w:r>
      <w:r/>
    </w:p>
    <w:p>
      <w:pPr>
        <w:pStyle w:val="881"/>
        <w:ind w:left="0" w:right="0" w:firstLine="709"/>
        <w:jc w:val="both"/>
        <w:widowControl/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анализ результатов специальной оценки условий  труда на рабочих местах в организациях; </w:t>
      </w:r>
      <w:r/>
    </w:p>
    <w:p>
      <w:pPr>
        <w:pStyle w:val="881"/>
        <w:ind w:left="0" w:right="0" w:firstLine="709"/>
        <w:jc w:val="both"/>
        <w:widowControl/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состояние и причины производственного травматизма и заболеваемости в организации и подразделениях;  </w:t>
      </w:r>
      <w:r/>
    </w:p>
    <w:p>
      <w:pPr>
        <w:pStyle w:val="881"/>
        <w:ind w:left="0" w:right="0" w:firstLine="709"/>
        <w:jc w:val="both"/>
        <w:widowControl/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отчёт об итогах деятельности совместного комитета (комиссии) по охране труда; </w:t>
      </w:r>
      <w:r/>
    </w:p>
    <w:p>
      <w:pPr>
        <w:pStyle w:val="881"/>
        <w:ind w:left="0" w:right="0" w:firstLine="709"/>
        <w:jc w:val="both"/>
        <w:widowControl/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рассмотрение предложений по разработке организационно-технических и санитарно-оздоровительных мероприятий для внесения изменений в соглашение по охране труда; </w:t>
      </w:r>
      <w:r/>
    </w:p>
    <w:p>
      <w:pPr>
        <w:pStyle w:val="881"/>
        <w:ind w:left="0" w:right="0" w:firstLine="709"/>
        <w:jc w:val="both"/>
        <w:widowControl/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информирование работников о состоянии условий и охраны труда на рабочих местах, существующем риске повреждения здоровья и полагающихся работникам компенсациях, средствах индивидуальной защиты и их роли в обеспечении безопасности труда; </w:t>
      </w:r>
      <w:r/>
    </w:p>
    <w:p>
      <w:pPr>
        <w:pStyle w:val="881"/>
        <w:ind w:left="0" w:right="0" w:firstLine="709"/>
        <w:jc w:val="both"/>
        <w:widowControl/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рассмотрение предложений профсоюзов и иных уполномоченных работниками представительных органов, а также работников по внедрению и совершенствованию системы управления охраной труда на предприятии; </w:t>
      </w:r>
      <w:r/>
    </w:p>
    <w:p>
      <w:pPr>
        <w:pStyle w:val="881"/>
        <w:ind w:left="0" w:right="0" w:firstLine="709"/>
        <w:jc w:val="both"/>
        <w:widowControl/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доведение до работников информации об их ответственности за нарушение требований охраны труда; </w:t>
      </w:r>
      <w:r/>
    </w:p>
    <w:p>
      <w:pPr>
        <w:pStyle w:val="881"/>
        <w:ind w:left="0" w:right="0" w:firstLine="709"/>
        <w:jc w:val="both"/>
        <w:widowControl/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поощрение руководителей и специалистов за активную работу по улучшению условий и охраны труда; </w:t>
      </w:r>
      <w:r/>
    </w:p>
    <w:p>
      <w:pPr>
        <w:pStyle w:val="881"/>
        <w:ind w:left="0" w:right="0" w:firstLine="709"/>
        <w:jc w:val="both"/>
        <w:widowControl/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поощрение рабочих за безаварийную работу, за соблюдение требований охраны труда и достижение высоких производственных показателей</w:t>
      </w:r>
      <w:r/>
    </w:p>
    <w:p>
      <w:pPr>
        <w:pStyle w:val="881"/>
        <w:ind w:left="0" w:right="0" w:firstLine="709"/>
        <w:jc w:val="both"/>
        <w:widowControl/>
      </w:pPr>
      <w:r/>
      <w:r/>
    </w:p>
    <w:p>
      <w:pPr>
        <w:pStyle w:val="881"/>
        <w:ind w:left="0" w:right="0" w:firstLine="709"/>
        <w:jc w:val="center"/>
        <w:widowControl/>
      </w:pPr>
      <w:r>
        <w:t xml:space="preserve"> </w:t>
      </w:r>
      <w:r>
        <w:rPr>
          <w:b/>
          <w:sz w:val="28"/>
          <w:szCs w:val="28"/>
        </w:rPr>
        <w:t xml:space="preserve">Примерный перечень мероприятий, проводимых в муниципальных образованиях</w:t>
      </w:r>
      <w:r/>
    </w:p>
    <w:p>
      <w:pPr>
        <w:pStyle w:val="881"/>
        <w:ind w:left="0" w:right="0" w:firstLine="709"/>
        <w:jc w:val="center"/>
        <w:widowControl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1"/>
        <w:ind w:left="0" w:right="0" w:firstLine="709"/>
        <w:jc w:val="both"/>
        <w:widowControl/>
      </w:pPr>
      <w:r>
        <w:rPr>
          <w:sz w:val="28"/>
          <w:szCs w:val="28"/>
        </w:rPr>
        <w:t xml:space="preserve">1. Проведение городских (районных) Дней охраны труда, семинаров, совещаний, «круглых столов» по вопросам обеспечения безопасных условий труда с руководителями и специалистами по охране труда.</w:t>
      </w:r>
      <w:r/>
    </w:p>
    <w:p>
      <w:pPr>
        <w:pStyle w:val="881"/>
        <w:ind w:left="0" w:right="0" w:firstLine="709"/>
        <w:jc w:val="both"/>
        <w:widowControl/>
      </w:pPr>
      <w:r>
        <w:rPr>
          <w:sz w:val="28"/>
          <w:szCs w:val="28"/>
        </w:rPr>
        <w:t xml:space="preserve">2. Проведение обучения по охране труда руководителей и специалистов организаций.</w:t>
      </w:r>
      <w:r/>
    </w:p>
    <w:p>
      <w:pPr>
        <w:pStyle w:val="881"/>
        <w:ind w:left="0" w:right="0" w:firstLine="709"/>
        <w:jc w:val="both"/>
        <w:widowControl/>
      </w:pPr>
      <w:r>
        <w:rPr>
          <w:sz w:val="28"/>
          <w:szCs w:val="28"/>
        </w:rPr>
        <w:t xml:space="preserve">3. Проведение заседаний городских (районных) межведомственных комиссий (рабочих групп) по охране труда и безопасности производства.</w:t>
      </w:r>
      <w:r/>
    </w:p>
    <w:p>
      <w:pPr>
        <w:pStyle w:val="881"/>
        <w:ind w:left="0" w:right="0" w:firstLine="709"/>
        <w:jc w:val="both"/>
        <w:widowControl/>
      </w:pPr>
      <w:r>
        <w:rPr>
          <w:sz w:val="28"/>
          <w:szCs w:val="28"/>
        </w:rPr>
        <w:t xml:space="preserve">4. Проведение конкурса (и)или выставки детских рисунков на тему «Безопасный труд глазами детей». </w:t>
      </w:r>
      <w:r/>
    </w:p>
    <w:p>
      <w:pPr>
        <w:pStyle w:val="881"/>
        <w:ind w:left="0" w:right="0" w:firstLine="709"/>
        <w:jc w:val="both"/>
        <w:widowControl/>
      </w:pPr>
      <w:r>
        <w:rPr>
          <w:sz w:val="28"/>
          <w:szCs w:val="28"/>
        </w:rPr>
        <w:t xml:space="preserve">5. Организация и проведение классных часов по вопросам безопасной жизнедеятельности школьников.</w:t>
      </w:r>
      <w:r/>
    </w:p>
    <w:p>
      <w:pPr>
        <w:pStyle w:val="881"/>
        <w:ind w:left="0" w:right="0" w:firstLine="709"/>
        <w:jc w:val="both"/>
        <w:widowControl/>
      </w:pPr>
      <w:r>
        <w:rPr>
          <w:sz w:val="28"/>
          <w:szCs w:val="28"/>
        </w:rPr>
        <w:t xml:space="preserve">6. Проведение семинара по вопросам охраны труда с учащимися выпускных классов.</w:t>
      </w:r>
      <w:r/>
    </w:p>
    <w:p>
      <w:pPr>
        <w:pStyle w:val="881"/>
        <w:ind w:left="0" w:right="0" w:firstLine="709"/>
        <w:jc w:val="both"/>
        <w:widowControl/>
      </w:pPr>
      <w:r>
        <w:rPr>
          <w:sz w:val="28"/>
          <w:szCs w:val="28"/>
        </w:rPr>
        <w:t xml:space="preserve">7. Проведение Дня открытых дверей по регулированию социально-трудовых отношений.</w:t>
      </w:r>
      <w:r/>
    </w:p>
    <w:p>
      <w:pPr>
        <w:pStyle w:val="881"/>
        <w:ind w:left="0" w:right="0" w:firstLine="709"/>
        <w:jc w:val="both"/>
        <w:widowControl/>
      </w:pPr>
      <w:r>
        <w:rPr>
          <w:sz w:val="28"/>
          <w:szCs w:val="28"/>
        </w:rPr>
        <w:t xml:space="preserve">8. Проведение семинаров по вопросам проведения специальной оценки условий труда с привлечением средств Фонда пенсионного и социального страхования Российской Федерации на мероприятия по охране труда.</w:t>
      </w:r>
      <w:r/>
    </w:p>
    <w:p>
      <w:pPr>
        <w:pStyle w:val="881"/>
        <w:ind w:left="0" w:right="0" w:firstLine="709"/>
        <w:jc w:val="both"/>
        <w:widowControl/>
      </w:pPr>
      <w:r>
        <w:rPr>
          <w:sz w:val="28"/>
          <w:szCs w:val="28"/>
        </w:rPr>
        <w:t xml:space="preserve">9. Проведение акции по сдаче донорской крови.</w:t>
      </w:r>
      <w:r/>
    </w:p>
    <w:p>
      <w:pPr>
        <w:pStyle w:val="881"/>
        <w:ind w:left="0" w:right="0" w:firstLine="709"/>
        <w:jc w:val="both"/>
        <w:widowControl/>
      </w:pPr>
      <w:r>
        <w:rPr>
          <w:sz w:val="28"/>
          <w:szCs w:val="28"/>
        </w:rPr>
        <w:t xml:space="preserve">10. Проведение «горячей линии» по вопросам охраны труда.</w:t>
      </w:r>
      <w:r/>
    </w:p>
    <w:p>
      <w:pPr>
        <w:pStyle w:val="881"/>
        <w:ind w:left="0" w:right="0" w:firstLine="709"/>
        <w:jc w:val="both"/>
        <w:widowControl/>
      </w:pPr>
      <w:r>
        <w:rPr>
          <w:sz w:val="28"/>
          <w:szCs w:val="28"/>
        </w:rPr>
        <w:t xml:space="preserve">11. </w:t>
      </w:r>
      <w:r>
        <w:rPr>
          <w:sz w:val="28"/>
          <w:szCs w:val="28"/>
        </w:rPr>
        <w:t xml:space="preserve">Организация тематических выступлений, публикаций в местных средствах массовой информации по актуальным вопросам охраны труда и здоровья работающего населения, формирования здорового образа жизни, социальной ответственности работодателей. </w:t>
      </w:r>
      <w:r/>
    </w:p>
    <w:sectPr>
      <w:headerReference w:type="default" r:id="rId8"/>
      <w:headerReference w:type="first" r:id="rId9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851" w:right="851" w:bottom="851" w:left="1701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">
    <w:panose1 w:val="020B0603030804020204"/>
  </w:font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2390" cy="170815"/>
              <wp:effectExtent l="0" t="0" r="0" b="0"/>
              <wp:wrapSquare wrapText="bothSides"/>
              <wp:docPr id="1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72390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90"/>
                          </w:pPr>
                          <w:r>
                            <w:rPr>
                              <w:rStyle w:val="883"/>
                            </w:rPr>
                            <w:fldChar w:fldCharType="begin"/>
                          </w:r>
                          <w:r>
                            <w:rPr>
                              <w:rStyle w:val="883"/>
                            </w:rPr>
                            <w:instrText xml:space="preserve"> PAGE </w:instrText>
                          </w:r>
                          <w:r>
                            <w:rPr>
                              <w:rStyle w:val="883"/>
                            </w:rPr>
                            <w:fldChar w:fldCharType="separate"/>
                          </w:r>
                          <w:r>
                            <w:rPr>
                              <w:rStyle w:val="883"/>
                            </w:rPr>
                            <w:t xml:space="preserve">3</w:t>
                          </w:r>
                          <w:r>
                            <w:rPr>
                              <w:rStyle w:val="883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pStyle w:val="881"/>
                          </w:pPr>
                          <w:r/>
                          <w:r/>
                        </w:p>
                      </w:txbxContent>
                    </wps:txbx>
                    <wps:bodyPr wrap="square" lIns="3810" tIns="3810" rIns="3810" bIns="381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5.70pt;height:13.45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890"/>
                    </w:pPr>
                    <w:r>
                      <w:rPr>
                        <w:rStyle w:val="883"/>
                      </w:rPr>
                      <w:fldChar w:fldCharType="begin"/>
                    </w:r>
                    <w:r>
                      <w:rPr>
                        <w:rStyle w:val="883"/>
                      </w:rPr>
                      <w:instrText xml:space="preserve"> PAGE </w:instrText>
                    </w:r>
                    <w:r>
                      <w:rPr>
                        <w:rStyle w:val="883"/>
                      </w:rPr>
                      <w:fldChar w:fldCharType="separate"/>
                    </w:r>
                    <w:r>
                      <w:rPr>
                        <w:rStyle w:val="883"/>
                      </w:rPr>
                      <w:t xml:space="preserve">3</w:t>
                    </w:r>
                    <w:r>
                      <w:rPr>
                        <w:rStyle w:val="883"/>
                      </w:rPr>
                      <w:fldChar w:fldCharType="end"/>
                    </w:r>
                    <w:r/>
                  </w:p>
                  <w:p>
                    <w:pPr>
                      <w:pStyle w:val="881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81"/>
    <w:next w:val="881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81"/>
    <w:next w:val="881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81"/>
    <w:next w:val="881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81"/>
    <w:next w:val="881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81"/>
    <w:next w:val="881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81"/>
    <w:next w:val="881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81"/>
    <w:next w:val="881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81"/>
    <w:next w:val="881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81"/>
    <w:next w:val="881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81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81"/>
    <w:next w:val="881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link w:val="722"/>
    <w:uiPriority w:val="10"/>
    <w:rPr>
      <w:sz w:val="48"/>
      <w:szCs w:val="48"/>
    </w:rPr>
  </w:style>
  <w:style w:type="paragraph" w:styleId="724">
    <w:name w:val="Subtitle"/>
    <w:basedOn w:val="881"/>
    <w:next w:val="881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link w:val="724"/>
    <w:uiPriority w:val="11"/>
    <w:rPr>
      <w:sz w:val="24"/>
      <w:szCs w:val="24"/>
    </w:rPr>
  </w:style>
  <w:style w:type="paragraph" w:styleId="726">
    <w:name w:val="Quote"/>
    <w:basedOn w:val="881"/>
    <w:next w:val="881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81"/>
    <w:next w:val="881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paragraph" w:styleId="730">
    <w:name w:val="Header"/>
    <w:basedOn w:val="881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Header Char"/>
    <w:link w:val="730"/>
    <w:uiPriority w:val="99"/>
  </w:style>
  <w:style w:type="paragraph" w:styleId="732">
    <w:name w:val="Footer"/>
    <w:basedOn w:val="881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Footer Char"/>
    <w:link w:val="732"/>
    <w:uiPriority w:val="99"/>
  </w:style>
  <w:style w:type="paragraph" w:styleId="734">
    <w:name w:val="Caption"/>
    <w:basedOn w:val="881"/>
    <w:next w:val="8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732"/>
    <w:uiPriority w:val="99"/>
  </w:style>
  <w:style w:type="table" w:styleId="736">
    <w:name w:val="Table Grid"/>
    <w:basedOn w:val="88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881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881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881"/>
    <w:next w:val="881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1"/>
    <w:next w:val="881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1"/>
    <w:next w:val="881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1"/>
    <w:next w:val="881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1"/>
    <w:next w:val="881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1"/>
    <w:next w:val="881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1"/>
    <w:next w:val="881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1"/>
    <w:next w:val="881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1"/>
    <w:next w:val="881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1"/>
    <w:next w:val="881"/>
    <w:uiPriority w:val="99"/>
    <w:unhideWhenUsed/>
    <w:pPr>
      <w:spacing w:after="0" w:afterAutospacing="0"/>
    </w:pPr>
  </w:style>
  <w:style w:type="table" w:styleId="88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81" w:default="1">
    <w:name w:val="Normal"/>
    <w:next w:val="881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882">
    <w:name w:val="Основной шрифт абзаца"/>
    <w:next w:val="882"/>
    <w:link w:val="881"/>
  </w:style>
  <w:style w:type="character" w:styleId="883">
    <w:name w:val="Номер страницы"/>
    <w:basedOn w:val="882"/>
    <w:next w:val="883"/>
    <w:link w:val="881"/>
  </w:style>
  <w:style w:type="paragraph" w:styleId="884">
    <w:name w:val="Заголовок"/>
    <w:basedOn w:val="881"/>
    <w:next w:val="885"/>
    <w:link w:val="881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885">
    <w:name w:val="Основной текст"/>
    <w:basedOn w:val="881"/>
    <w:next w:val="885"/>
    <w:link w:val="881"/>
    <w:pPr>
      <w:spacing w:before="0" w:after="140" w:line="276" w:lineRule="auto"/>
    </w:pPr>
  </w:style>
  <w:style w:type="paragraph" w:styleId="886">
    <w:name w:val="Список"/>
    <w:basedOn w:val="885"/>
    <w:next w:val="886"/>
    <w:link w:val="881"/>
    <w:rPr>
      <w:rFonts w:cs="Lucida Sans"/>
    </w:rPr>
  </w:style>
  <w:style w:type="paragraph" w:styleId="887">
    <w:name w:val="Название"/>
    <w:basedOn w:val="881"/>
    <w:next w:val="887"/>
    <w:link w:val="881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888">
    <w:name w:val="Указатель"/>
    <w:basedOn w:val="881"/>
    <w:next w:val="888"/>
    <w:link w:val="881"/>
    <w:pPr>
      <w:suppressLineNumbers/>
    </w:pPr>
    <w:rPr>
      <w:rFonts w:cs="Lucida Sans"/>
    </w:rPr>
  </w:style>
  <w:style w:type="paragraph" w:styleId="889">
    <w:name w:val="Верхний и нижний колонтитулы"/>
    <w:basedOn w:val="881"/>
    <w:next w:val="889"/>
    <w:link w:val="881"/>
    <w:pPr>
      <w:tabs>
        <w:tab w:val="center" w:pos="4819" w:leader="none"/>
        <w:tab w:val="right" w:pos="9638" w:leader="none"/>
      </w:tabs>
      <w:suppressLineNumbers/>
    </w:pPr>
  </w:style>
  <w:style w:type="paragraph" w:styleId="890">
    <w:name w:val="Верхний колонтитул"/>
    <w:basedOn w:val="881"/>
    <w:next w:val="890"/>
    <w:link w:val="881"/>
    <w:pPr>
      <w:tabs>
        <w:tab w:val="center" w:pos="4677" w:leader="none"/>
        <w:tab w:val="right" w:pos="9355" w:leader="none"/>
      </w:tabs>
    </w:pPr>
  </w:style>
  <w:style w:type="paragraph" w:styleId="891">
    <w:name w:val="Содержимое врезки"/>
    <w:basedOn w:val="881"/>
    <w:next w:val="891"/>
    <w:link w:val="881"/>
  </w:style>
  <w:style w:type="character" w:styleId="892" w:default="1">
    <w:name w:val="Default Paragraph Font"/>
    <w:uiPriority w:val="1"/>
    <w:semiHidden/>
    <w:unhideWhenUsed/>
  </w:style>
  <w:style w:type="numbering" w:styleId="89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Рекомендуемые мероприятия при подготовке и проведении в организациях</dc:title>
  <dc:creator>3132</dc:creator>
  <cp:lastModifiedBy>user</cp:lastModifiedBy>
  <cp:revision>20</cp:revision>
  <dcterms:created xsi:type="dcterms:W3CDTF">2013-04-04T13:55:00Z</dcterms:created>
  <dcterms:modified xsi:type="dcterms:W3CDTF">2026-04-15T11:30:56Z</dcterms:modified>
</cp:coreProperties>
</file>