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Layout w:type="fixed"/>
        <w:tblCellMar>
          <w:top w:w="55" w:type="dxa"/>
          <w:left w:w="55" w:type="dxa"/>
          <w:bottom w:w="55" w:type="dxa"/>
          <w:right w:w="55" w:type="dxa"/>
        </w:tblCellMar>
        <w:tblLook w:val="04A0" w:firstRow="1" w:lastRow="0" w:firstColumn="1" w:lastColumn="0" w:noHBand="0" w:noVBand="1"/>
      </w:tblPr>
      <w:tblGrid>
        <w:gridCol w:w="5014"/>
        <w:gridCol w:w="4626"/>
      </w:tblGrid>
      <w:tr w:rsidR="004E10EE" w:rsidTr="004E10EE">
        <w:tc>
          <w:tcPr>
            <w:tcW w:w="5014" w:type="dxa"/>
            <w:hideMark/>
          </w:tcPr>
          <w:p w:rsidR="004E10EE" w:rsidRDefault="004E10EE" w:rsidP="00BE1007">
            <w:pPr>
              <w:pStyle w:val="a3"/>
              <w:snapToGrid w:val="0"/>
            </w:pPr>
            <w:r>
              <w:t>ПРИНЯТО</w:t>
            </w:r>
          </w:p>
        </w:tc>
        <w:tc>
          <w:tcPr>
            <w:tcW w:w="4626" w:type="dxa"/>
            <w:hideMark/>
          </w:tcPr>
          <w:p w:rsidR="004E10EE" w:rsidRDefault="004E10EE" w:rsidP="00BE1007">
            <w:pPr>
              <w:pStyle w:val="a3"/>
              <w:snapToGrid w:val="0"/>
              <w:jc w:val="right"/>
            </w:pPr>
            <w:r>
              <w:t>УТВЕРЖДАЮ</w:t>
            </w:r>
          </w:p>
        </w:tc>
      </w:tr>
      <w:tr w:rsidR="004E10EE" w:rsidTr="004E10EE">
        <w:tc>
          <w:tcPr>
            <w:tcW w:w="5014" w:type="dxa"/>
            <w:hideMark/>
          </w:tcPr>
          <w:p w:rsidR="004E10EE" w:rsidRDefault="004E10EE" w:rsidP="00BE1007">
            <w:pPr>
              <w:pStyle w:val="a3"/>
              <w:snapToGrid w:val="0"/>
            </w:pPr>
            <w:r>
              <w:t xml:space="preserve">решением педагогического совета </w:t>
            </w:r>
          </w:p>
          <w:p w:rsidR="004E10EE" w:rsidRDefault="004E10EE" w:rsidP="00BE1007">
            <w:pPr>
              <w:pStyle w:val="a3"/>
              <w:rPr>
                <w:i/>
                <w:iCs/>
              </w:rPr>
            </w:pPr>
            <w:r>
              <w:rPr>
                <w:iCs/>
              </w:rPr>
              <w:t xml:space="preserve"> </w:t>
            </w:r>
            <w:bookmarkStart w:id="0" w:name="_GoBack"/>
            <w:bookmarkEnd w:id="0"/>
          </w:p>
        </w:tc>
        <w:tc>
          <w:tcPr>
            <w:tcW w:w="4626" w:type="dxa"/>
            <w:hideMark/>
          </w:tcPr>
          <w:p w:rsidR="004E10EE" w:rsidRDefault="004E10EE" w:rsidP="00BE1007">
            <w:pPr>
              <w:pStyle w:val="a3"/>
              <w:snapToGrid w:val="0"/>
              <w:jc w:val="right"/>
            </w:pPr>
            <w:r>
              <w:t>директор __________________Павлова Л.И.</w:t>
            </w:r>
          </w:p>
          <w:p w:rsidR="004E10EE" w:rsidRDefault="004E10EE" w:rsidP="00BE1007">
            <w:pPr>
              <w:pStyle w:val="a3"/>
              <w:snapToGrid w:val="0"/>
              <w:jc w:val="right"/>
            </w:pPr>
            <w:r>
              <w:t xml:space="preserve">  </w:t>
            </w:r>
            <w:r>
              <w:rPr>
                <w:u w:val="single"/>
              </w:rPr>
              <w:t>«  01</w:t>
            </w:r>
            <w:r w:rsidRPr="00CA5125">
              <w:rPr>
                <w:u w:val="single"/>
              </w:rPr>
              <w:t xml:space="preserve">  »</w:t>
            </w:r>
            <w:r>
              <w:rPr>
                <w:u w:val="single"/>
              </w:rPr>
              <w:t>сентября 2022</w:t>
            </w:r>
            <w:r w:rsidRPr="00CA5125">
              <w:rPr>
                <w:u w:val="single"/>
              </w:rPr>
              <w:t xml:space="preserve"> г</w:t>
            </w:r>
            <w:r>
              <w:t>.</w:t>
            </w:r>
          </w:p>
        </w:tc>
      </w:tr>
      <w:tr w:rsidR="004E10EE" w:rsidTr="004E10EE">
        <w:tc>
          <w:tcPr>
            <w:tcW w:w="5014" w:type="dxa"/>
            <w:hideMark/>
          </w:tcPr>
          <w:p w:rsidR="004E10EE" w:rsidRDefault="004E10EE" w:rsidP="00BE1007">
            <w:pPr>
              <w:pStyle w:val="a3"/>
              <w:snapToGrid w:val="0"/>
            </w:pPr>
            <w:r>
              <w:t xml:space="preserve">Протокол № </w:t>
            </w:r>
            <w:r>
              <w:rPr>
                <w:u w:val="single"/>
              </w:rPr>
              <w:t xml:space="preserve">   1  </w:t>
            </w:r>
            <w:r w:rsidRPr="00CA5125">
              <w:rPr>
                <w:u w:val="single"/>
              </w:rPr>
              <w:t xml:space="preserve"> от «</w:t>
            </w:r>
            <w:r>
              <w:rPr>
                <w:u w:val="single"/>
              </w:rPr>
              <w:t xml:space="preserve">   31   </w:t>
            </w:r>
            <w:r w:rsidRPr="00CA5125">
              <w:rPr>
                <w:u w:val="single"/>
              </w:rPr>
              <w:t>»</w:t>
            </w:r>
            <w:r>
              <w:t xml:space="preserve"> августа</w:t>
            </w:r>
            <w:r>
              <w:rPr>
                <w:u w:val="single"/>
              </w:rPr>
              <w:t xml:space="preserve"> </w:t>
            </w:r>
            <w:r>
              <w:t>2022 г.</w:t>
            </w:r>
          </w:p>
        </w:tc>
        <w:tc>
          <w:tcPr>
            <w:tcW w:w="4626" w:type="dxa"/>
            <w:hideMark/>
          </w:tcPr>
          <w:p w:rsidR="004E10EE" w:rsidRDefault="004E10EE" w:rsidP="00BE1007">
            <w:pPr>
              <w:pStyle w:val="a3"/>
              <w:snapToGrid w:val="0"/>
              <w:jc w:val="right"/>
            </w:pPr>
          </w:p>
        </w:tc>
      </w:tr>
    </w:tbl>
    <w:p w:rsidR="004E10EE" w:rsidRDefault="004E10EE" w:rsidP="004E10EE">
      <w:pPr>
        <w:pStyle w:val="pc"/>
        <w:spacing w:before="0" w:beforeAutospacing="0" w:after="0" w:afterAutospacing="0"/>
        <w:jc w:val="center"/>
      </w:pPr>
    </w:p>
    <w:p w:rsidR="00F1409B" w:rsidRDefault="00F1409B" w:rsidP="004E10EE">
      <w:pPr>
        <w:pStyle w:val="pc"/>
        <w:spacing w:before="0" w:beforeAutospacing="0" w:after="0" w:afterAutospacing="0"/>
        <w:jc w:val="center"/>
      </w:pPr>
      <w:r>
        <w:t xml:space="preserve">ПОЛОЖЕНИЕ О ПОРЯДКЕ И ФОРМАХ ПРОВЕДЕНИЯ </w:t>
      </w:r>
      <w:r w:rsidR="00021B5E">
        <w:t xml:space="preserve"> </w:t>
      </w:r>
      <w:r>
        <w:t>ИТОГОВОЙ АТТЕСТАЦИИ</w:t>
      </w:r>
    </w:p>
    <w:p w:rsidR="00F1409B" w:rsidRDefault="00F1409B" w:rsidP="004E10EE">
      <w:pPr>
        <w:pStyle w:val="pc"/>
        <w:spacing w:before="0" w:beforeAutospacing="0" w:after="0" w:afterAutospacing="0"/>
        <w:jc w:val="center"/>
      </w:pPr>
      <w:r>
        <w:t>ОБУЧАЮЩИХСЯ, ОСВОИВШИХ ДОПОЛНИТЕЛЬНЫЕ  ПРЕДПРОФЕССИОНАЛЬНЫЕ ОБЩЕОБРАЗОВАТЕЛЬНЫЕ ПРОГРАММЫ В ОБЛАСТИ ИСКУССТВ</w:t>
      </w:r>
    </w:p>
    <w:p w:rsidR="004E10EE" w:rsidRDefault="004E10EE" w:rsidP="004E10EE">
      <w:pPr>
        <w:pStyle w:val="pc"/>
        <w:spacing w:before="0" w:beforeAutospacing="0" w:after="0" w:afterAutospacing="0"/>
        <w:jc w:val="center"/>
      </w:pPr>
    </w:p>
    <w:p w:rsidR="00F1409B" w:rsidRDefault="00F1409B" w:rsidP="004E10EE">
      <w:pPr>
        <w:pStyle w:val="pc"/>
        <w:spacing w:before="0" w:beforeAutospacing="0" w:after="0" w:afterAutospacing="0"/>
        <w:jc w:val="both"/>
      </w:pPr>
      <w:r>
        <w:t>I. Общие положения</w:t>
      </w:r>
    </w:p>
    <w:p w:rsidR="00F1409B" w:rsidRDefault="00F1409B" w:rsidP="004E10EE">
      <w:pPr>
        <w:pStyle w:val="pj"/>
        <w:spacing w:before="0" w:beforeAutospacing="0" w:after="0" w:afterAutospacing="0"/>
        <w:jc w:val="both"/>
      </w:pPr>
      <w:r>
        <w:t>1. 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F1409B" w:rsidRDefault="00F1409B" w:rsidP="004E10EE">
      <w:pPr>
        <w:pStyle w:val="pj"/>
        <w:spacing w:before="0" w:beforeAutospacing="0" w:after="0" w:afterAutospacing="0"/>
        <w:jc w:val="both"/>
      </w:pPr>
      <w:r>
        <w:t>2. Настоящее Положение распространяется на образовательные организации, реализующие дополнительные предпрофессиональные общеобразовательные программы в области искусств, независимо от их организационно-правовой формы и подчиненности (далее - образовательные организации).</w:t>
      </w:r>
    </w:p>
    <w:p w:rsidR="00F1409B" w:rsidRDefault="00F1409B" w:rsidP="004E10EE">
      <w:pPr>
        <w:pStyle w:val="pj"/>
        <w:spacing w:before="0" w:beforeAutospacing="0" w:after="0" w:afterAutospacing="0"/>
        <w:jc w:val="both"/>
      </w:pPr>
      <w:r>
        <w:t xml:space="preserve">3. </w:t>
      </w:r>
      <w:proofErr w:type="gramStart"/>
      <w:r>
        <w:t>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w:t>
      </w:r>
      <w:proofErr w:type="gramEnd"/>
      <w:r>
        <w:t xml:space="preserve"> - федеральные государственные требования).</w:t>
      </w:r>
    </w:p>
    <w:p w:rsidR="00F1409B" w:rsidRDefault="00F1409B" w:rsidP="004E10EE">
      <w:pPr>
        <w:pStyle w:val="pj"/>
        <w:spacing w:before="0" w:beforeAutospacing="0" w:after="0" w:afterAutospacing="0"/>
        <w:jc w:val="both"/>
      </w:pPr>
      <w:r>
        <w:t>4. Итоговая аттестация проводится для выпускников образовательных организаций, 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 и допущенных в текущем году к итоговой аттестации.</w:t>
      </w:r>
    </w:p>
    <w:p w:rsidR="00F1409B" w:rsidRDefault="00F1409B" w:rsidP="004E10EE">
      <w:pPr>
        <w:pStyle w:val="pc"/>
        <w:spacing w:before="0" w:beforeAutospacing="0" w:after="0" w:afterAutospacing="0"/>
        <w:jc w:val="both"/>
      </w:pPr>
      <w:r>
        <w:t>II. Формы проведения итоговой аттестации</w:t>
      </w:r>
    </w:p>
    <w:p w:rsidR="00F1409B" w:rsidRDefault="00F1409B" w:rsidP="004E10EE">
      <w:pPr>
        <w:pStyle w:val="pj"/>
        <w:spacing w:before="0" w:beforeAutospacing="0" w:after="0" w:afterAutospacing="0"/>
        <w:jc w:val="both"/>
      </w:pPr>
      <w:r>
        <w:t>5. Итоговая аттестация проводится в формах выпускных экзаменов.</w:t>
      </w:r>
    </w:p>
    <w:p w:rsidR="00F1409B" w:rsidRDefault="00F1409B" w:rsidP="004E10EE">
      <w:pPr>
        <w:pStyle w:val="pj"/>
        <w:spacing w:before="0" w:beforeAutospacing="0" w:after="0" w:afterAutospacing="0"/>
        <w:jc w:val="both"/>
      </w:pPr>
      <w:r>
        <w:t>6.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w:t>
      </w:r>
    </w:p>
    <w:p w:rsidR="00F1409B" w:rsidRDefault="00F1409B" w:rsidP="004E10EE">
      <w:pPr>
        <w:pStyle w:val="pj"/>
        <w:spacing w:before="0" w:beforeAutospacing="0" w:after="0" w:afterAutospacing="0"/>
        <w:jc w:val="both"/>
      </w:pPr>
      <w:proofErr w:type="gramStart"/>
      <w:r>
        <w:t>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w:t>
      </w:r>
      <w:proofErr w:type="gramEnd"/>
    </w:p>
    <w:p w:rsidR="00F1409B" w:rsidRDefault="00F1409B" w:rsidP="004E10EE">
      <w:pPr>
        <w:pStyle w:val="pj"/>
        <w:spacing w:before="0" w:beforeAutospacing="0" w:after="0" w:afterAutospacing="0"/>
        <w:jc w:val="both"/>
      </w:pPr>
      <w:r>
        <w:t>7.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p w:rsidR="00F1409B" w:rsidRDefault="00F1409B" w:rsidP="004E10EE">
      <w:pPr>
        <w:pStyle w:val="pc"/>
        <w:spacing w:before="0" w:beforeAutospacing="0" w:after="0" w:afterAutospacing="0"/>
        <w:jc w:val="both"/>
      </w:pPr>
      <w:r>
        <w:t>III. Организация проведения итоговой аттестации</w:t>
      </w:r>
    </w:p>
    <w:p w:rsidR="00F1409B" w:rsidRDefault="00F1409B" w:rsidP="004E10EE">
      <w:pPr>
        <w:pStyle w:val="pj"/>
        <w:spacing w:before="0" w:beforeAutospacing="0" w:after="0" w:afterAutospacing="0"/>
        <w:jc w:val="both"/>
      </w:pPr>
      <w:r>
        <w:t>8. Итоговая аттестация организуется и проводится образовательной организацией самостоятельно.</w:t>
      </w:r>
    </w:p>
    <w:p w:rsidR="00F1409B" w:rsidRDefault="00F1409B" w:rsidP="004E10EE">
      <w:pPr>
        <w:pStyle w:val="pj"/>
        <w:spacing w:before="0" w:beforeAutospacing="0" w:after="0" w:afterAutospacing="0"/>
        <w:jc w:val="both"/>
      </w:pPr>
      <w:r>
        <w:t>9. Для организации и проведения итоговой аттестации в образовательной организации или его филиале, реализующем дополнительные предпрофессиональные общеобразовательные программы в области искусств, ежегодно создаются экзаменационные и апелляционные комиссии.</w:t>
      </w:r>
    </w:p>
    <w:p w:rsidR="00F1409B" w:rsidRDefault="00F1409B" w:rsidP="004E10EE">
      <w:pPr>
        <w:pStyle w:val="pj"/>
        <w:spacing w:before="0" w:beforeAutospacing="0" w:after="0" w:afterAutospacing="0"/>
        <w:jc w:val="both"/>
      </w:pPr>
      <w:r>
        <w:t>10.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w:t>
      </w:r>
    </w:p>
    <w:p w:rsidR="00F1409B" w:rsidRDefault="00F1409B" w:rsidP="004E10EE">
      <w:pPr>
        <w:pStyle w:val="pj"/>
        <w:spacing w:before="0" w:beforeAutospacing="0" w:after="0" w:afterAutospacing="0"/>
        <w:jc w:val="both"/>
      </w:pPr>
      <w:r>
        <w:lastRenderedPageBreak/>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образовательной организации.</w:t>
      </w:r>
    </w:p>
    <w:p w:rsidR="00F1409B" w:rsidRDefault="00F1409B" w:rsidP="004E10EE">
      <w:pPr>
        <w:pStyle w:val="pj"/>
        <w:spacing w:before="0" w:beforeAutospacing="0" w:after="0" w:afterAutospacing="0"/>
        <w:jc w:val="both"/>
      </w:pPr>
      <w:r>
        <w:t>11. Экзаменационные комиссии руководствуются в своей деятельности настоящим Положением, локальными актами образовательной организации, а также дополнительной предпрофессиональной общеобразовательной программой в области искусств, разрабатываемой образовательной организацией в соответствии с федеральными государственными требованиями.</w:t>
      </w:r>
    </w:p>
    <w:p w:rsidR="00F1409B" w:rsidRDefault="00F1409B" w:rsidP="004E10EE">
      <w:pPr>
        <w:pStyle w:val="pj"/>
        <w:spacing w:before="0" w:beforeAutospacing="0" w:after="0" w:afterAutospacing="0"/>
        <w:jc w:val="both"/>
      </w:pPr>
      <w:r>
        <w:t>12. Экзаменационная комиссия формируется приказом руководителя образовательной организации из числа преподавателей данной образовательной организации,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14 настоящего Положения).</w:t>
      </w:r>
    </w:p>
    <w:p w:rsidR="00F1409B" w:rsidRDefault="00F1409B" w:rsidP="004E10EE">
      <w:pPr>
        <w:pStyle w:val="pj"/>
        <w:spacing w:before="0" w:beforeAutospacing="0" w:after="0" w:afterAutospacing="0"/>
        <w:jc w:val="both"/>
      </w:pPr>
      <w: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F1409B" w:rsidRDefault="00F1409B" w:rsidP="004E10EE">
      <w:pPr>
        <w:pStyle w:val="pj"/>
        <w:spacing w:before="0" w:beforeAutospacing="0" w:after="0" w:afterAutospacing="0"/>
        <w:jc w:val="both"/>
      </w:pPr>
      <w:r>
        <w:t>13.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w:t>
      </w:r>
    </w:p>
    <w:p w:rsidR="00F1409B" w:rsidRDefault="00F1409B" w:rsidP="004E10EE">
      <w:pPr>
        <w:pStyle w:val="pj"/>
        <w:spacing w:before="0" w:beforeAutospacing="0" w:after="0" w:afterAutospacing="0"/>
        <w:jc w:val="both"/>
      </w:pPr>
      <w:r>
        <w:t xml:space="preserve">14. Председатель экзаменационной комиссии назначается учредителем образовательной организации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образовательной организации, в </w:t>
      </w:r>
      <w:proofErr w:type="gramStart"/>
      <w:r>
        <w:t>котором</w:t>
      </w:r>
      <w:proofErr w:type="gramEnd"/>
      <w:r>
        <w:t xml:space="preserve"> создается экзаменационная комиссия.</w:t>
      </w:r>
    </w:p>
    <w:p w:rsidR="00F1409B" w:rsidRDefault="00F1409B" w:rsidP="004E10EE">
      <w:pPr>
        <w:pStyle w:val="pj"/>
        <w:spacing w:before="0" w:beforeAutospacing="0" w:after="0" w:afterAutospacing="0"/>
        <w:jc w:val="both"/>
      </w:pPr>
      <w:r>
        <w:t>В одной образовательной организации одно и то же лицо может быть назначено председателем нескольких экзаменационных комиссий.</w:t>
      </w:r>
    </w:p>
    <w:p w:rsidR="00F1409B" w:rsidRDefault="00F1409B" w:rsidP="004E10EE">
      <w:pPr>
        <w:pStyle w:val="pj"/>
        <w:spacing w:before="0" w:beforeAutospacing="0" w:after="0" w:afterAutospacing="0"/>
        <w:jc w:val="both"/>
      </w:pPr>
      <w:r>
        <w:t>15.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F1409B" w:rsidRDefault="00F1409B" w:rsidP="004E10EE">
      <w:pPr>
        <w:pStyle w:val="pj"/>
        <w:spacing w:before="0" w:beforeAutospacing="0" w:after="0" w:afterAutospacing="0"/>
        <w:jc w:val="both"/>
      </w:pPr>
      <w:r>
        <w:t>Полномочия председателя экзаменационной комиссии действительны по 31 декабря текущего года.</w:t>
      </w:r>
    </w:p>
    <w:p w:rsidR="00F1409B" w:rsidRDefault="00F1409B" w:rsidP="004E10EE">
      <w:pPr>
        <w:pStyle w:val="pj"/>
        <w:spacing w:before="0" w:beforeAutospacing="0" w:after="0" w:afterAutospacing="0"/>
        <w:jc w:val="both"/>
      </w:pPr>
      <w:r>
        <w:t>16. Для каждой экзаменационной комиссии руководителем образовательной организации назначается секретарь из числа работников образовательной организации, не входящих в состав экзаменационных комиссий.</w:t>
      </w:r>
    </w:p>
    <w:p w:rsidR="00F1409B" w:rsidRDefault="00F1409B" w:rsidP="004E10EE">
      <w:pPr>
        <w:pStyle w:val="pj"/>
        <w:spacing w:before="0" w:beforeAutospacing="0" w:after="0" w:afterAutospacing="0"/>
        <w:jc w:val="both"/>
      </w:pPr>
      <w:r>
        <w:t>Секретарь ведет протоколы заседаний экзаменационной комиссии, представляет в апелляционную комиссию необходимые материалы.</w:t>
      </w:r>
    </w:p>
    <w:p w:rsidR="00F1409B" w:rsidRDefault="00F1409B" w:rsidP="004E10EE">
      <w:pPr>
        <w:pStyle w:val="pc"/>
        <w:spacing w:before="0" w:beforeAutospacing="0" w:after="0" w:afterAutospacing="0"/>
        <w:jc w:val="both"/>
      </w:pPr>
      <w:r>
        <w:t>IV. Сроки и процедура проведения итоговой аттестации</w:t>
      </w:r>
    </w:p>
    <w:p w:rsidR="00F1409B" w:rsidRDefault="00F1409B" w:rsidP="004E10EE">
      <w:pPr>
        <w:pStyle w:val="pj"/>
        <w:spacing w:before="0" w:beforeAutospacing="0" w:after="0" w:afterAutospacing="0"/>
        <w:jc w:val="both"/>
      </w:pPr>
      <w:r>
        <w:t>17. Итоговая аттестация проводится по месту нахождения образовательной организации или его филиала.</w:t>
      </w:r>
    </w:p>
    <w:p w:rsidR="00F1409B" w:rsidRDefault="00F1409B" w:rsidP="004E10EE">
      <w:pPr>
        <w:pStyle w:val="pj"/>
        <w:spacing w:before="0" w:beforeAutospacing="0" w:after="0" w:afterAutospacing="0"/>
        <w:jc w:val="both"/>
      </w:pPr>
      <w:r>
        <w:t xml:space="preserve">18. Дата и время проведения каждого выпускного экзамена устанавливаются приказом руководителя образовательной организации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w:t>
      </w:r>
      <w:proofErr w:type="gramStart"/>
      <w:r>
        <w:t>позднее</w:t>
      </w:r>
      <w:proofErr w:type="gramEnd"/>
      <w:r>
        <w:t xml:space="preserve"> чем за 20 дней до проведения первого выпускного экзамена.</w:t>
      </w:r>
    </w:p>
    <w:p w:rsidR="00F1409B" w:rsidRDefault="00F1409B" w:rsidP="004E10EE">
      <w:pPr>
        <w:pStyle w:val="pj"/>
        <w:spacing w:before="0" w:beforeAutospacing="0" w:after="0" w:afterAutospacing="0"/>
        <w:jc w:val="both"/>
      </w:pPr>
      <w:r>
        <w:t>Расписание выпускных экзаменов должно предусматривать, чтобы интервал между ними для каждого выпускника составлял не менее трех дней.</w:t>
      </w:r>
    </w:p>
    <w:p w:rsidR="00F1409B" w:rsidRDefault="00F1409B" w:rsidP="004E10EE">
      <w:pPr>
        <w:pStyle w:val="pj"/>
        <w:spacing w:before="0" w:beforeAutospacing="0" w:after="0" w:afterAutospacing="0"/>
        <w:jc w:val="both"/>
      </w:pPr>
      <w:r>
        <w:t xml:space="preserve">19. Программы, темы, билеты, исполнительский репертуар, предназначенные для выпускных экзаменов, утверждаются руководителем образовательной организации не </w:t>
      </w:r>
      <w:proofErr w:type="gramStart"/>
      <w:r>
        <w:t>позднее</w:t>
      </w:r>
      <w:proofErr w:type="gramEnd"/>
      <w:r>
        <w:t xml:space="preserve"> чем за три месяца до начала проведения итоговой аттестации.</w:t>
      </w:r>
    </w:p>
    <w:p w:rsidR="00F1409B" w:rsidRDefault="00F1409B" w:rsidP="004E10EE">
      <w:pPr>
        <w:pStyle w:val="pj"/>
        <w:spacing w:before="0" w:beforeAutospacing="0" w:after="0" w:afterAutospacing="0"/>
        <w:jc w:val="both"/>
      </w:pPr>
      <w:r>
        <w:lastRenderedPageBreak/>
        <w:t>20. Перед выпускными экзаменами для выпускников проводятся консультации по вопросам итоговой аттестации.</w:t>
      </w:r>
    </w:p>
    <w:p w:rsidR="00F1409B" w:rsidRDefault="00F1409B" w:rsidP="004E10EE">
      <w:pPr>
        <w:pStyle w:val="pj"/>
        <w:spacing w:before="0" w:beforeAutospacing="0" w:after="0" w:afterAutospacing="0"/>
        <w:jc w:val="both"/>
      </w:pPr>
      <w:r>
        <w:t>21. Во время проведения выпускных экзаменов присутствие посторонних лиц допускается только с разрешения руководителя образовательной организации.</w:t>
      </w:r>
    </w:p>
    <w:p w:rsidR="00F1409B" w:rsidRDefault="00F1409B" w:rsidP="004E10EE">
      <w:pPr>
        <w:pStyle w:val="pj"/>
        <w:spacing w:before="0" w:beforeAutospacing="0" w:after="0" w:afterAutospacing="0"/>
        <w:jc w:val="both"/>
      </w:pPr>
      <w: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профессиональных образовательных организаций, образовательных организаций высшего образования.</w:t>
      </w:r>
    </w:p>
    <w:p w:rsidR="00F1409B" w:rsidRDefault="00F1409B" w:rsidP="004E10EE">
      <w:pPr>
        <w:pStyle w:val="pj"/>
        <w:spacing w:before="0" w:beforeAutospacing="0" w:after="0" w:afterAutospacing="0"/>
        <w:jc w:val="both"/>
      </w:pPr>
      <w:r>
        <w:t>22. Заседание экзаменационной комиссии является правомочным, если на нем присутствует не менее 2/3 ее состава.</w:t>
      </w:r>
    </w:p>
    <w:p w:rsidR="00F1409B" w:rsidRDefault="00F1409B" w:rsidP="004E10EE">
      <w:pPr>
        <w:pStyle w:val="pj"/>
        <w:spacing w:before="0" w:beforeAutospacing="0" w:after="0" w:afterAutospacing="0"/>
        <w:jc w:val="both"/>
      </w:pPr>
      <w: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F1409B" w:rsidRDefault="00F1409B" w:rsidP="004E10EE">
      <w:pPr>
        <w:pStyle w:val="pj"/>
        <w:spacing w:before="0" w:beforeAutospacing="0" w:after="0" w:afterAutospacing="0"/>
        <w:jc w:val="both"/>
      </w:pPr>
      <w:r>
        <w:t>23. По итогам проведения выпускного экзамена выпускнику выставляется оценка "отлично", "хорошо", "удовлетворительно" или "неудовлетворительно".</w:t>
      </w:r>
    </w:p>
    <w:p w:rsidR="00F1409B" w:rsidRDefault="00F1409B" w:rsidP="004E10EE">
      <w:pPr>
        <w:pStyle w:val="pj"/>
        <w:spacing w:before="0" w:beforeAutospacing="0" w:after="0" w:afterAutospacing="0"/>
        <w:jc w:val="both"/>
      </w:pPr>
      <w: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F1409B" w:rsidRDefault="00F1409B" w:rsidP="004E10EE">
      <w:pPr>
        <w:pStyle w:val="pj"/>
        <w:spacing w:before="0" w:beforeAutospacing="0" w:after="0" w:afterAutospacing="0"/>
        <w:jc w:val="both"/>
      </w:pPr>
      <w:r>
        <w:t>24.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F1409B" w:rsidRDefault="00F1409B" w:rsidP="004E10EE">
      <w:pPr>
        <w:pStyle w:val="pj"/>
        <w:spacing w:before="0" w:beforeAutospacing="0" w:after="0" w:afterAutospacing="0"/>
        <w:jc w:val="both"/>
      </w:pPr>
      <w:r>
        <w:t>Протоколы заседаний экзаменационных комиссий хранятся в архиве образовательной организации, копии протоколов или выписки из протоколов - в личном деле выпускника на протяжении всего срока хранения личного дела.</w:t>
      </w:r>
    </w:p>
    <w:p w:rsidR="00F1409B" w:rsidRDefault="00F1409B" w:rsidP="004E10EE">
      <w:pPr>
        <w:pStyle w:val="pj"/>
        <w:spacing w:before="0" w:beforeAutospacing="0" w:after="0" w:afterAutospacing="0"/>
        <w:jc w:val="both"/>
      </w:pPr>
      <w:r>
        <w:t>25. Отчеты о работе экзаменационных и апелляционных комиссий заслушиваются на педагогическом совете образовательной организации и вместе с рекомендациями о совершенствовании качества образования в образовательной организации представляются учредителю в двухмесячный срок после завершения итоговой аттестации.</w:t>
      </w:r>
    </w:p>
    <w:p w:rsidR="00F1409B" w:rsidRDefault="00F1409B" w:rsidP="004E10EE">
      <w:pPr>
        <w:pStyle w:val="pc"/>
        <w:spacing w:before="0" w:beforeAutospacing="0" w:after="0" w:afterAutospacing="0"/>
        <w:jc w:val="both"/>
      </w:pPr>
      <w:r>
        <w:t>V. Порядок подачи и рассмотрения апелляций</w:t>
      </w:r>
    </w:p>
    <w:p w:rsidR="00F1409B" w:rsidRDefault="00F1409B" w:rsidP="004E10EE">
      <w:pPr>
        <w:pStyle w:val="pj"/>
        <w:spacing w:before="0" w:beforeAutospacing="0" w:after="0" w:afterAutospacing="0"/>
        <w:jc w:val="both"/>
      </w:pPr>
      <w:r>
        <w:t>26.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F1409B" w:rsidRDefault="00F1409B" w:rsidP="004E10EE">
      <w:pPr>
        <w:pStyle w:val="pj"/>
        <w:spacing w:before="0" w:beforeAutospacing="0" w:after="0" w:afterAutospacing="0"/>
        <w:jc w:val="both"/>
      </w:pPr>
      <w:r>
        <w:t>27. Состав апелляционной комиссии утверждается приказом руководителя образовательной организации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образовательной организации, не входящих в состав экзаменационных комиссий.</w:t>
      </w:r>
    </w:p>
    <w:p w:rsidR="00F1409B" w:rsidRDefault="00F1409B" w:rsidP="004E10EE">
      <w:pPr>
        <w:pStyle w:val="pj"/>
        <w:spacing w:before="0" w:beforeAutospacing="0" w:after="0" w:afterAutospacing="0"/>
        <w:jc w:val="both"/>
      </w:pPr>
      <w:r>
        <w:t>28.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F1409B" w:rsidRDefault="00F1409B" w:rsidP="004E10EE">
      <w:pPr>
        <w:pStyle w:val="pj"/>
        <w:spacing w:before="0" w:beforeAutospacing="0" w:after="0" w:afterAutospacing="0"/>
        <w:jc w:val="both"/>
      </w:pPr>
      <w:r>
        <w:t>29.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F1409B" w:rsidRDefault="00F1409B" w:rsidP="004E10EE">
      <w:pPr>
        <w:pStyle w:val="pj"/>
        <w:spacing w:before="0" w:beforeAutospacing="0" w:after="0" w:afterAutospacing="0"/>
        <w:jc w:val="both"/>
      </w:pPr>
      <w:r>
        <w:t>30.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F1409B" w:rsidRDefault="00F1409B" w:rsidP="004E10EE">
      <w:pPr>
        <w:pStyle w:val="pj"/>
        <w:spacing w:before="0" w:beforeAutospacing="0" w:after="0" w:afterAutospacing="0"/>
        <w:jc w:val="both"/>
      </w:pPr>
      <w:r>
        <w:lastRenderedPageBreak/>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F1409B" w:rsidRDefault="00F1409B" w:rsidP="004E10EE">
      <w:pPr>
        <w:pStyle w:val="pj"/>
        <w:spacing w:before="0" w:beforeAutospacing="0" w:after="0" w:afterAutospacing="0"/>
        <w:jc w:val="both"/>
      </w:pPr>
      <w:r>
        <w:t xml:space="preserve">31. Выпускной экзамен проводится повторно </w:t>
      </w:r>
      <w:proofErr w:type="gramStart"/>
      <w: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t xml:space="preserve"> его проведения.</w:t>
      </w:r>
    </w:p>
    <w:p w:rsidR="00F1409B" w:rsidRDefault="00F1409B" w:rsidP="004E10EE">
      <w:pPr>
        <w:pStyle w:val="pj"/>
        <w:spacing w:before="0" w:beforeAutospacing="0" w:after="0" w:afterAutospacing="0"/>
        <w:jc w:val="both"/>
      </w:pPr>
      <w:r>
        <w:t>32. Подача апелляции по процедуре проведения повторного выпускного экзамена не допускается.</w:t>
      </w:r>
    </w:p>
    <w:p w:rsidR="00F1409B" w:rsidRDefault="00F1409B" w:rsidP="004E10EE">
      <w:pPr>
        <w:pStyle w:val="pc"/>
        <w:spacing w:before="0" w:beforeAutospacing="0" w:after="0" w:afterAutospacing="0"/>
        <w:jc w:val="both"/>
      </w:pPr>
      <w:r>
        <w:t>VI. Повторное прохождение итоговой аттестации</w:t>
      </w:r>
    </w:p>
    <w:p w:rsidR="00F1409B" w:rsidRDefault="00F1409B" w:rsidP="004E10EE">
      <w:pPr>
        <w:pStyle w:val="pj"/>
        <w:spacing w:before="0" w:beforeAutospacing="0" w:after="0" w:afterAutospacing="0"/>
        <w:jc w:val="both"/>
      </w:pPr>
      <w:r>
        <w:t xml:space="preserve">33.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образовательной организации, но не позднее шести месяцев </w:t>
      </w:r>
      <w:proofErr w:type="gramStart"/>
      <w:r>
        <w:t>с даты выдачи</w:t>
      </w:r>
      <w:proofErr w:type="gramEnd"/>
      <w:r>
        <w:t xml:space="preserve"> документа, подтверждающего наличие указанной уважительной причины.</w:t>
      </w:r>
    </w:p>
    <w:p w:rsidR="00F1409B" w:rsidRDefault="00F1409B" w:rsidP="004E10EE">
      <w:pPr>
        <w:pStyle w:val="pj"/>
        <w:spacing w:before="0" w:beforeAutospacing="0" w:after="0" w:afterAutospacing="0"/>
        <w:jc w:val="both"/>
      </w:pPr>
      <w:r>
        <w:t>34.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образовательной организации.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образовательной организации на период времени, не превышающий предусмотренного на итоговую аттестацию федеральными государственными требованиями.</w:t>
      </w:r>
    </w:p>
    <w:p w:rsidR="00F1409B" w:rsidRDefault="00F1409B" w:rsidP="004E10EE">
      <w:pPr>
        <w:pStyle w:val="pj"/>
        <w:spacing w:before="0" w:beforeAutospacing="0" w:after="0" w:afterAutospacing="0"/>
        <w:jc w:val="both"/>
      </w:pPr>
      <w:r>
        <w:t>35. Прохождение повторной итоговой аттестации более одного раза не допускается.</w:t>
      </w:r>
    </w:p>
    <w:p w:rsidR="00F1409B" w:rsidRDefault="00F1409B" w:rsidP="004E10EE">
      <w:pPr>
        <w:pStyle w:val="pc"/>
        <w:spacing w:before="0" w:beforeAutospacing="0" w:after="0" w:afterAutospacing="0"/>
        <w:jc w:val="both"/>
      </w:pPr>
      <w:r>
        <w:t>VII. Получение документа об освоении</w:t>
      </w:r>
    </w:p>
    <w:p w:rsidR="00F1409B" w:rsidRDefault="00F1409B" w:rsidP="004E10EE">
      <w:pPr>
        <w:pStyle w:val="pc"/>
        <w:spacing w:before="0" w:beforeAutospacing="0" w:after="0" w:afterAutospacing="0"/>
        <w:jc w:val="both"/>
      </w:pPr>
      <w:r>
        <w:t>дополнительных предпрофессиональных общеобразовательных</w:t>
      </w:r>
    </w:p>
    <w:p w:rsidR="00F1409B" w:rsidRDefault="00F1409B" w:rsidP="004E10EE">
      <w:pPr>
        <w:pStyle w:val="pc"/>
        <w:spacing w:before="0" w:beforeAutospacing="0" w:after="0" w:afterAutospacing="0"/>
        <w:jc w:val="both"/>
      </w:pPr>
      <w:r>
        <w:t>программ в области искусств</w:t>
      </w:r>
    </w:p>
    <w:p w:rsidR="00F1409B" w:rsidRDefault="00F1409B" w:rsidP="004E10EE">
      <w:pPr>
        <w:pStyle w:val="pj"/>
        <w:spacing w:before="0" w:beforeAutospacing="0" w:after="0" w:afterAutospacing="0"/>
        <w:jc w:val="both"/>
      </w:pPr>
      <w:r>
        <w:t>36.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соответствующей образовательной организации свидетельство об освоении указанных программ. Форма свидетельства устанавливается Министерством культуры Российской Федерации "*".</w:t>
      </w:r>
    </w:p>
    <w:p w:rsidR="00F1409B" w:rsidRDefault="00F1409B" w:rsidP="004E10EE">
      <w:pPr>
        <w:pStyle w:val="pj"/>
        <w:spacing w:before="0" w:beforeAutospacing="0" w:after="0" w:afterAutospacing="0"/>
        <w:jc w:val="both"/>
      </w:pPr>
      <w:r>
        <w:t>--------------------------------</w:t>
      </w:r>
    </w:p>
    <w:p w:rsidR="00F1409B" w:rsidRDefault="00F1409B" w:rsidP="004E10EE">
      <w:pPr>
        <w:pStyle w:val="pj"/>
        <w:spacing w:before="0" w:beforeAutospacing="0" w:after="0" w:afterAutospacing="0"/>
        <w:jc w:val="both"/>
      </w:pPr>
      <w:r>
        <w:t>"*" Пункт 1.1 статьи 26 Закона Российской Федерации от 10 июля 1992 г. N 3266-1 "Об образовании".</w:t>
      </w:r>
    </w:p>
    <w:p w:rsidR="00F1409B" w:rsidRDefault="00F1409B" w:rsidP="004E10EE">
      <w:pPr>
        <w:pStyle w:val="pj"/>
        <w:spacing w:before="0" w:beforeAutospacing="0" w:after="0" w:afterAutospacing="0"/>
        <w:jc w:val="both"/>
      </w:pPr>
      <w:r>
        <w:t>37.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 выдается справка установленного образовательной организацией образца.</w:t>
      </w:r>
    </w:p>
    <w:p w:rsidR="00F1409B" w:rsidRDefault="00F1409B" w:rsidP="004E10EE">
      <w:pPr>
        <w:pStyle w:val="pj"/>
        <w:spacing w:before="0" w:beforeAutospacing="0" w:after="0" w:afterAutospacing="0"/>
        <w:jc w:val="both"/>
      </w:pPr>
      <w:r>
        <w:t xml:space="preserve">38. Копия свидетельства об освоении дополнительных предпрофессиональных общеобразовательных программ в области </w:t>
      </w:r>
      <w:proofErr w:type="spellStart"/>
      <w:r>
        <w:t>ис</w:t>
      </w:r>
      <w:proofErr w:type="spellEnd"/>
    </w:p>
    <w:p w:rsidR="009771C6" w:rsidRDefault="009771C6" w:rsidP="004E10EE">
      <w:pPr>
        <w:spacing w:after="0" w:line="240" w:lineRule="auto"/>
        <w:jc w:val="both"/>
      </w:pPr>
    </w:p>
    <w:sectPr w:rsidR="009771C6" w:rsidSect="004E10E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90"/>
    <w:rsid w:val="00021B5E"/>
    <w:rsid w:val="001A4790"/>
    <w:rsid w:val="00482AFF"/>
    <w:rsid w:val="004E10EE"/>
    <w:rsid w:val="009771C6"/>
    <w:rsid w:val="00F14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14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14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Содержимое таблицы"/>
    <w:basedOn w:val="a"/>
    <w:rsid w:val="004E10EE"/>
    <w:pPr>
      <w:widowControl w:val="0"/>
      <w:suppressAutoHyphens/>
      <w:autoSpaceDE w:val="0"/>
      <w:spacing w:after="0" w:line="240" w:lineRule="auto"/>
    </w:pPr>
    <w:rPr>
      <w:rFonts w:ascii="Times New Roman" w:eastAsia="Arial Unicode MS" w:hAnsi="Times New Roma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14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14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Содержимое таблицы"/>
    <w:basedOn w:val="a"/>
    <w:rsid w:val="004E10EE"/>
    <w:pPr>
      <w:widowControl w:val="0"/>
      <w:suppressAutoHyphens/>
      <w:autoSpaceDE w:val="0"/>
      <w:spacing w:after="0" w:line="240" w:lineRule="auto"/>
    </w:pPr>
    <w:rPr>
      <w:rFonts w:ascii="Times New Roman" w:eastAsia="Arial Unicode MS"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1974</Words>
  <Characters>11255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6</cp:revision>
  <cp:lastPrinted>2022-11-19T06:45:00Z</cp:lastPrinted>
  <dcterms:created xsi:type="dcterms:W3CDTF">2018-04-04T10:51:00Z</dcterms:created>
  <dcterms:modified xsi:type="dcterms:W3CDTF">2022-11-19T06:46:00Z</dcterms:modified>
</cp:coreProperties>
</file>