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312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7777777"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77777777" w:rsidR="00DD59B3" w:rsidRPr="00CA6FED" w:rsidRDefault="004647BD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171</w:t>
            </w:r>
          </w:p>
        </w:tc>
        <w:tc>
          <w:tcPr>
            <w:tcW w:w="2451" w:type="dxa"/>
            <w:vAlign w:val="bottom"/>
          </w:tcPr>
          <w:p w14:paraId="2BCF4907" w14:textId="6CD0B075" w:rsidR="00DD59B3" w:rsidRPr="00DD59B3" w:rsidRDefault="004647BD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9A3CF5">
              <w:rPr>
                <w:sz w:val="28"/>
                <w:szCs w:val="22"/>
              </w:rPr>
              <w:t>8</w:t>
            </w:r>
            <w:r w:rsidR="00EE0D18">
              <w:rPr>
                <w:sz w:val="28"/>
                <w:szCs w:val="22"/>
              </w:rPr>
              <w:t>,25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14:paraId="6044E568" w14:textId="45F48ABF" w:rsidR="004E4F42" w:rsidRPr="00DF697B" w:rsidRDefault="009A3CF5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B63">
              <w:rPr>
                <w:sz w:val="28"/>
                <w:szCs w:val="28"/>
              </w:rPr>
              <w:t>3,7</w:t>
            </w:r>
          </w:p>
        </w:tc>
        <w:tc>
          <w:tcPr>
            <w:tcW w:w="2451" w:type="dxa"/>
          </w:tcPr>
          <w:p w14:paraId="4E21A20B" w14:textId="7C6DD772" w:rsidR="004E4F42" w:rsidRPr="00DF697B" w:rsidRDefault="009A3CF5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B63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14:paraId="38088A8F" w14:textId="54093F19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B63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25</w:t>
            </w:r>
          </w:p>
        </w:tc>
        <w:tc>
          <w:tcPr>
            <w:tcW w:w="2451" w:type="dxa"/>
          </w:tcPr>
          <w:p w14:paraId="3AB86585" w14:textId="2312DA76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B63">
              <w:rPr>
                <w:sz w:val="28"/>
                <w:szCs w:val="28"/>
              </w:rPr>
              <w:t xml:space="preserve">, </w:t>
            </w:r>
            <w:r w:rsidR="00EB7294">
              <w:rPr>
                <w:sz w:val="28"/>
                <w:szCs w:val="28"/>
              </w:rPr>
              <w:t>25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150</w:t>
            </w:r>
          </w:p>
        </w:tc>
      </w:tr>
    </w:tbl>
    <w:p w14:paraId="442273E9" w14:textId="77777777" w:rsidR="00011AA2" w:rsidRPr="00011AA2" w:rsidRDefault="00011A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77913F3" w14:textId="051AA772"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протертая картофельная масса</w:t>
      </w:r>
      <w:r w:rsidR="00DD59B3">
        <w:rPr>
          <w:sz w:val="28"/>
          <w:szCs w:val="28"/>
        </w:rPr>
        <w:t>.</w:t>
      </w:r>
    </w:p>
    <w:p w14:paraId="1C10CF42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14:paraId="4BEBD6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14:paraId="31A2A037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Запах:</w:t>
      </w:r>
      <w:r w:rsidR="00CA6FED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свежеприготовленное картофельное пюре с ароматом кипяченного молока и сливочного масла</w:t>
      </w:r>
      <w:r w:rsidR="00DD59B3">
        <w:rPr>
          <w:sz w:val="28"/>
          <w:szCs w:val="28"/>
        </w:rPr>
        <w:t>.</w:t>
      </w:r>
    </w:p>
    <w:p w14:paraId="46E939B1" w14:textId="2064B71E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14:paraId="7C5721B9" w14:textId="00C5753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D59B3">
        <w:rPr>
          <w:sz w:val="28"/>
          <w:szCs w:val="28"/>
        </w:rPr>
        <w:t>1</w:t>
      </w:r>
      <w:r w:rsidR="004E4F42">
        <w:rPr>
          <w:sz w:val="28"/>
          <w:szCs w:val="28"/>
        </w:rPr>
        <w:t>5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36B23CBA"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6B9E47E6"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6ED075C0"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37E2B8B2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490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,</w:t>
            </w:r>
            <w:r w:rsidR="00D252BC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A06D3B"/>
    <w:rsid w:val="00A44D35"/>
    <w:rsid w:val="00A951F6"/>
    <w:rsid w:val="00B26033"/>
    <w:rsid w:val="00BC1BE9"/>
    <w:rsid w:val="00BF4371"/>
    <w:rsid w:val="00C4144B"/>
    <w:rsid w:val="00C97237"/>
    <w:rsid w:val="00CA2ACD"/>
    <w:rsid w:val="00CA64E4"/>
    <w:rsid w:val="00CA6FED"/>
    <w:rsid w:val="00CB5285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30</cp:revision>
  <dcterms:created xsi:type="dcterms:W3CDTF">2019-12-04T07:21:00Z</dcterms:created>
  <dcterms:modified xsi:type="dcterms:W3CDTF">2024-07-25T12:41:00Z</dcterms:modified>
</cp:coreProperties>
</file>