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ind w:firstLine="284" w:left="0" w:right="0"/>
        <w:spacing w:after="0" w:before="0" w:line="100" w:lineRule="atLeast"/>
      </w:pPr>
      <w:r>
        <w:rPr>
          <w:sz w:val="36"/>
          <w:b/>
          <w:szCs w:val="36"/>
          <w:bCs/>
          <w:rFonts w:ascii="Times New Roman" w:hAnsi="Times New Roman"/>
        </w:rPr>
        <w:t>Консультация для педагогов</w:t>
      </w:r>
    </w:p>
    <w:p>
      <w:pPr>
        <w:pStyle w:val="style0"/>
        <w:jc w:val="center"/>
        <w:ind w:firstLine="284" w:left="0" w:right="0"/>
        <w:spacing w:after="0" w:before="0" w:line="100" w:lineRule="atLeast"/>
      </w:pPr>
      <w:r>
        <w:rPr>
          <w:sz w:val="36"/>
          <w:b/>
          <w:szCs w:val="36"/>
          <w:bCs/>
          <w:rFonts w:ascii="Times New Roman" w:hAnsi="Times New Roman"/>
        </w:rPr>
        <w:t>Руководство сюжетно-ролевой игрой</w:t>
      </w:r>
    </w:p>
    <w:p>
      <w:pPr>
        <w:pStyle w:val="style0"/>
        <w:jc w:val="center"/>
        <w:ind w:firstLine="284" w:left="0" w:right="0"/>
        <w:spacing w:after="0" w:before="0" w:line="100" w:lineRule="atLeast"/>
      </w:pPr>
      <w:r>
        <w:rPr>
          <w:sz w:val="36"/>
          <w:b/>
          <w:szCs w:val="36"/>
          <w:bCs/>
          <w:rFonts w:ascii="Times New Roman" w:hAnsi="Times New Roman"/>
        </w:rPr>
        <w:t>детей старшего дошкольного возраста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 xml:space="preserve">Сюжетно – ролевая игра – это основной вид игры ребёнка дошкольного возраста. Характеризуя её, С. Л. Рубинштейн подчеркнул, что эта игра есть наиболее спонтанное проявление ребёнка и вместе с тем она строится на взаимодействии ребёнка со взрослыми. Ей присущи основные черты игры: эмоциональная насыщенность и увлечённость детей, самостоятельность, активность, творчество. 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 xml:space="preserve">В игру вовлекаются все стороны личности: ребёнок двигается, говорит, воспринимает, думает; в процессе игры активно работают все его психические процессы: мышление, воображение, память, усиливаются эмоциональные и волевые проявления. 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 xml:space="preserve">В сюжетно – ролевой игре дети вступают в реальные организационные отношения (договариваются о сюжете, распределяют роли и т. д.). В то же время между ними одновременно устанавливаются сложные ролевые отношения (например, мамы и дочки, капитана и матроса, врача и пациента и т. п.). Отличительной особенностью игровой воображаемой ситуации является то, что ребёнок начинает действовать в мысленной, а не видимой ситуации: действие определяется мыслью, а не вещью. 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 xml:space="preserve">  </w:t>
      </w:r>
      <w:r>
        <w:rPr>
          <w:sz w:val="28"/>
          <w:szCs w:val="28"/>
          <w:rFonts w:ascii="Times New Roman" w:hAnsi="Times New Roman"/>
        </w:rPr>
        <w:t xml:space="preserve">Своеобразие содержания сюжетно – ролевой игры также является одной из её важнейших особенностей. Игра есть деятельность, в которой дети сами моделируют общественную жизнь взрослых. 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 xml:space="preserve">Для того чтобы игра, возникнув, перешла на более высокий этап развития, необходимо ее грамотно организовать. Воспитатель должен знать особенности организации игры в детском коллективе. 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 xml:space="preserve">Руководство сюжетно-ролевыми играми детей дошкольного возраста предполагает, что педагог влияет на расширение тематики этих игр, обогащает содержание, способствует овладению детьми ролевым поведением. 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 xml:space="preserve">Благодаря взаимосвязи всех компонентов, игра с первых ее этапов организуется как самостоятельная деятельность детей. Постепенно она становится все более творческой и саморазвивающейся. Основные компоненты комплексного подхода к формированию игры сохраняются на всех этапах ее развития. Меняется лишь роль каждого компонента. Для перехода игры на более сложный этап важны все компоненты. Роль каждого из них меняется в зависимости от уровня развития игры на данном этапе. Содержание работы по всем компонентам руководства игрой направлено на постепенное усложнение способов решения игровых задач, развитие сюжета, взаимоотношений детей и их самостоятельности в игре. 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 xml:space="preserve">При руководстве сюжетно-ролевыми играми перед воспитателями стоят </w:t>
      </w:r>
      <w:r>
        <w:rPr>
          <w:sz w:val="28"/>
          <w:szCs w:val="28"/>
          <w:bCs/>
          <w:rFonts w:ascii="Times New Roman" w:hAnsi="Times New Roman"/>
        </w:rPr>
        <w:t>задачи: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- развитие игры как деятельности (расширение тематики игр, углубление их содержания);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 xml:space="preserve">- использование игры в целях воспитания детского коллектива и отдельных детей. 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 xml:space="preserve">Воспитатель должен направлять игру, не нарушая ее, сохранять самостоятельный и творческий характер игровой деятельности. 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При руководстве сюжетно-ролевой игрой в старшем дошкольном возрасте используются следующие приемы: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bCs/>
          <w:rFonts w:ascii="Times New Roman" w:hAnsi="Times New Roman"/>
        </w:rPr>
        <w:t>Приемы прямого руководств</w:t>
      </w:r>
      <w:r>
        <w:rPr>
          <w:sz w:val="28"/>
          <w:szCs w:val="28"/>
          <w:rFonts w:ascii="Times New Roman" w:hAnsi="Times New Roman"/>
        </w:rPr>
        <w:t xml:space="preserve">а. 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 xml:space="preserve">- Включение педагога в игру, принятие на себя роли (главной или второстепенной) – не часто, по необходимости (показ речевого образца, коллективное обсуждение ролевого поведения играющих после игры). 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bCs/>
          <w:rFonts w:ascii="Times New Roman" w:hAnsi="Times New Roman"/>
        </w:rPr>
        <w:t>Приемы косвенного руководства: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 xml:space="preserve">- обогащение социального опыта детей через все виды деятельности (наблюдения, экскурсии, чтение художественной литературы, просмотр детских телепередач, беседы) 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 xml:space="preserve">- привлечение детей к изготовлению атрибутов и оформлению игровых полей. 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Создание условий для развития творческой сюжетно-ролевой игры: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- создание предметно- игровой среды (тематические игровые уголки, характерные для младшего и среднего возраста – «Больница», «Парикмахерская», где характерным образом расположено игровое оборудование и игрушки, не свойственны для старшего возраста) ;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- расположение разнообразного игрового материала в прикладах (коробки, контейнеры, ящички с условными и реалистичными игрушками и атрибутами;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- включение в среду «игрушек-полуфабрикатов» для изготовления самоделок;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 xml:space="preserve">- пополнение и обогащение игровой среды в соответствии с полученными на занятиях знаниями. 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Помощь взрослого: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- вспомнить более подходящие для игры события, установить их последовательность, спланировать ход игры, последовательность действий;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- распределить роли, согласовать замысел;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- помощь в решении игровых задач, поддержание познавательного интереса в игре;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- наблюдение за игрой детей;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- направление замысла и действий детей (совет, подсказка, вопрос, изменение игровой среды) ;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- создание проблемных ситуаций (гибкое воздействие на замысел игры, развитие сюжета, усложнение способов отображения действительности) ;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- создать игровую ситуацию;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- индивидуальная работа (ребенок не владеет игровыми способами, можно использовать опыт хорошо играющих детей).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 xml:space="preserve">Таким образом, к пяти годам дети умеют самостоятельно организовать сюжетно-ролевую игру – выбрать тему, создать условия, выполнять соответствующие игровые действия и правила поведения. Педагог использует в основном косвенные приемы руководства игрой. </w:t>
      </w:r>
    </w:p>
    <w:p>
      <w:pPr>
        <w:pStyle w:val="style0"/>
        <w:ind w:firstLine="284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Сюжетно-ролевые игры для дошкольников – очень важный вид деятельности и не стоит игнорировать его или ругать ребёнка за беспорядок. Этот вид детской деятельности не менее важен для дошкольников, как например, изобразительная деятельность или занятия по математике или развитию речи. Сюжетно-ролевой игре надо уделять особое внимание.</w:t>
      </w:r>
    </w:p>
    <w:p>
      <w:pPr>
        <w:pStyle w:val="style0"/>
        <w:spacing w:after="0" w:before="0" w:line="100" w:lineRule="atLeast"/>
      </w:pPr>
      <w:r>
        <w:rPr/>
      </w:r>
    </w:p>
    <w:sectPr>
      <w:formProt w:val="off"/>
      <w:pgSz w:h="16837" w:w="11905"/>
      <w:textDirection w:val="lrTb"/>
      <w:pgNumType w:fmt="decimal"/>
      <w:type w:val="nextPage"/>
      <w:pgMar w:bottom="1134" w:left="851" w:right="850" w:top="5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auto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Times New Roman" w:eastAsia="Times New Roman" w:hAnsi="Calibri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sz w:val="28"/>
      <w:szCs w:val="28"/>
      <w:rFonts w:ascii="Arial" w:cs="Tahoma" w:eastAsia="Arial Unicode MS" w:hAnsi="Arial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ascii="Arial" w:cs="Tahoma" w:hAnsi="Arial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sz w:val="20"/>
      <w:i/>
      <w:szCs w:val="24"/>
      <w:iCs/>
      <w:rFonts w:ascii="Arial" w:cs="Tahoma" w:hAnsi="Arial"/>
    </w:rPr>
  </w:style>
  <w:style w:styleId="style20" w:type="paragraph">
    <w:name w:val="Указатель"/>
    <w:basedOn w:val="style0"/>
    <w:next w:val="style20"/>
    <w:pPr>
      <w:suppressLineNumbers/>
    </w:pPr>
    <w:rPr>
      <w:rFonts w:ascii="Arial" w:cs="Tahoma" w:hAnsi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2016-11-02T04:11:00.00Z</dcterms:created>
  <dc:creator>Надежда</dc:creator>
  <cp:lastModifiedBy>Надежда</cp:lastModifiedBy>
  <dcterms:modified xsi:type="dcterms:W3CDTF">2016-11-02T04:15:00.00Z</dcterms:modified>
  <cp:revision>1</cp:revision>
</cp:coreProperties>
</file>