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6E" w:rsidRPr="00FC376E" w:rsidRDefault="00FC376E" w:rsidP="00FC37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мер, направленных на недопущение незаконных сборов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>
        <w:rPr>
          <w:rFonts w:ascii="Times New Roman" w:hAnsi="Times New Roman" w:cs="Times New Roman"/>
          <w:sz w:val="28"/>
          <w:szCs w:val="28"/>
        </w:rPr>
        <w:t>одителей (законных представителей) воспитанников МБДОУ ЦРР – детский сад № 9 ст. Старощербиновская на 2021 учебный год</w:t>
      </w:r>
    </w:p>
    <w:tbl>
      <w:tblPr>
        <w:tblW w:w="979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4811"/>
        <w:gridCol w:w="2188"/>
        <w:gridCol w:w="2188"/>
      </w:tblGrid>
      <w:tr w:rsidR="00FC376E" w:rsidRPr="00FC376E" w:rsidTr="00FC376E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Периодичность проведения</w:t>
            </w:r>
          </w:p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FC376E" w:rsidRPr="00FC376E" w:rsidTr="00FC376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proofErr w:type="gramStart"/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Проведение педагогического совещания по вопросу привлечения и расходованию добровольных пожертвований и целевых взносов физических лиц, а также мерах по предупреждению незаконного сбора средств с родителей (законных представителей)</w:t>
            </w:r>
            <w:proofErr w:type="gram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FC376E" w:rsidRPr="00FC376E" w:rsidTr="00FC376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Мониторинг действующего законодательства в области противодействия коррупции.</w:t>
            </w:r>
          </w:p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Приведение в соответствие с действующим законодательством нормативных документов, локальных актов, регламентирующих порядок оказания платных образовательных услуг:</w:t>
            </w:r>
          </w:p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Разработка (корректировка, внесение изменений) локальных актов (положения, форм договоров) учреждения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по мере внесения измен</w:t>
            </w:r>
            <w:bookmarkStart w:id="0" w:name="_GoBack"/>
            <w:bookmarkEnd w:id="0"/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ений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FC376E" w:rsidRPr="00FC376E" w:rsidTr="00FC376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 xml:space="preserve">Разъяснительная работа с родителями (законными представителями) о порядке и условиях внесения физическими лицами добровольных пожертвований и целевых взносов, а также осуществлении </w:t>
            </w:r>
            <w:proofErr w:type="gramStart"/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 xml:space="preserve"> расходованием добровольных пожертвований.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заместитель заведующего</w:t>
            </w: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, воспитатели</w:t>
            </w:r>
          </w:p>
        </w:tc>
      </w:tr>
      <w:tr w:rsidR="00FC376E" w:rsidRPr="00FC376E" w:rsidTr="00FC376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 xml:space="preserve">Размещение на официальном сайте учреждения телефонов «горячих линий», адресов электронных приемных (в </w:t>
            </w:r>
            <w:proofErr w:type="spellStart"/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т.ч</w:t>
            </w:r>
            <w:proofErr w:type="spellEnd"/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 xml:space="preserve">. правоохранительных и контрольно-надзорных органов), необходимых в случаях, когда </w:t>
            </w: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действия  (бездействия) руководителей и работников учреждения нарушают права и законные интересы родителей (законных представителей), воспитанников (нарушение правил приема в ДОУ, факты незаконных сборов денежных средств)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постоянно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proofErr w:type="gramStart"/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ответственный за сайт</w:t>
            </w:r>
            <w:proofErr w:type="gramEnd"/>
          </w:p>
        </w:tc>
      </w:tr>
      <w:tr w:rsidR="00FC376E" w:rsidRPr="00FC376E" w:rsidTr="00FC376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Обеспечение функционирования «горячей линии» в ДОУ по приему обращений граждан о незаконных сборах денежных сре</w:t>
            </w:r>
            <w:proofErr w:type="gramStart"/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дств с р</w:t>
            </w:r>
            <w:proofErr w:type="gramEnd"/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одителей (законных представителей)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зам. заведующего</w:t>
            </w:r>
          </w:p>
        </w:tc>
      </w:tr>
      <w:tr w:rsidR="00FC376E" w:rsidRPr="00FC376E" w:rsidTr="00FC376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Обновить информационный стенд для родителей (законных представителей) воспитанников о порядке привлечения ДОУ внебюджетных средств. Разместить «Памятку для родителей»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Зам. заведующего, воспитатели</w:t>
            </w:r>
          </w:p>
        </w:tc>
      </w:tr>
      <w:tr w:rsidR="00FC376E" w:rsidRPr="00FC376E" w:rsidTr="00FC376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Довести до сведения членов родительского комитета информацию, что любая инициативная группа граждан, в том числе родительский комитет, вправе принимать решение об оказании благотворительной помощи только в отношении себя самих, а не родителей всех детей.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FC376E" w:rsidRPr="00FC376E" w:rsidTr="00FC376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 Информировать родителей (законных представителей) что добровольные пожертвования и целевые взносы в денежной форме вносятся только на лицевой счет ДОУ, передача имущества оформляется актом приема</w:t>
            </w:r>
            <w:r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передачи.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FC376E" w:rsidRPr="00FC376E" w:rsidTr="00FC376E">
        <w:trPr>
          <w:trHeight w:val="540"/>
        </w:trPr>
        <w:tc>
          <w:tcPr>
            <w:tcW w:w="6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Обеспечение открытости и доступности на официальном сайте учреждения в сети Интернет сведений: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proofErr w:type="gramStart"/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ответственный за сайт</w:t>
            </w:r>
            <w:proofErr w:type="gramEnd"/>
          </w:p>
        </w:tc>
      </w:tr>
      <w:tr w:rsidR="00FC376E" w:rsidRPr="00FC376E" w:rsidTr="00FC376E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76E" w:rsidRPr="00FC376E" w:rsidRDefault="00FC376E" w:rsidP="00FC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 xml:space="preserve">- о возможности, порядке и условиях внесения физическими лицами добровольных пожертвований и целевых взносов, а также осуществления </w:t>
            </w:r>
            <w:proofErr w:type="gramStart"/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расходованием.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76E" w:rsidRPr="00FC376E" w:rsidRDefault="00FC376E" w:rsidP="00FC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76E" w:rsidRPr="00FC376E" w:rsidRDefault="00FC376E" w:rsidP="00FC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</w:p>
        </w:tc>
      </w:tr>
      <w:tr w:rsidR="00FC376E" w:rsidRPr="00FC376E" w:rsidTr="00FC37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76E" w:rsidRPr="00FC376E" w:rsidRDefault="00FC376E" w:rsidP="00FC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- публичного отчета о привлечении и расходовании дополнительных финансовых средств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1 раз в год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FC376E" w:rsidRPr="00FC376E" w:rsidTr="00FC376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Организация проведения мониторинга мнения родителей (законных представителей) воспитанников ДОУ по вопросам привлечения и расходования добровольных пожертвований и целевых взносов физических лиц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1 раз в год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 xml:space="preserve">заместитель заведующего </w:t>
            </w:r>
          </w:p>
        </w:tc>
      </w:tr>
      <w:tr w:rsidR="00FC376E" w:rsidRPr="00FC376E" w:rsidTr="00FC376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Знакомить сотрудников ДОУ с поступающими распорядительными документами  Министерст</w:t>
            </w:r>
            <w:r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ва образования и науки  РФ,</w:t>
            </w: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 xml:space="preserve">управления </w:t>
            </w: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 xml:space="preserve">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Щербиновский</w:t>
            </w:r>
            <w:proofErr w:type="spellEnd"/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района  «О соблюдении установленного порядка привлечения внебюджетных средств (благотворительной помощи) в дошкольны</w:t>
            </w:r>
            <w:r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х образовательных организациях»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по мере поступления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E" w:rsidRPr="00FC376E" w:rsidRDefault="00FC376E" w:rsidP="00FC376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lang w:eastAsia="ru-RU"/>
              </w:rPr>
            </w:pPr>
            <w:r w:rsidRPr="00FC376E"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</w:tr>
    </w:tbl>
    <w:p w:rsidR="00FC376E" w:rsidRPr="00FC376E" w:rsidRDefault="00FC376E">
      <w:pPr>
        <w:rPr>
          <w:rFonts w:ascii="Times New Roman" w:hAnsi="Times New Roman" w:cs="Times New Roman"/>
          <w:sz w:val="28"/>
          <w:szCs w:val="28"/>
        </w:rPr>
      </w:pPr>
    </w:p>
    <w:p w:rsidR="00FC376E" w:rsidRPr="00FC376E" w:rsidRDefault="00FC376E">
      <w:pPr>
        <w:rPr>
          <w:rFonts w:ascii="Times New Roman" w:hAnsi="Times New Roman" w:cs="Times New Roman"/>
          <w:sz w:val="28"/>
          <w:szCs w:val="28"/>
        </w:rPr>
      </w:pPr>
    </w:p>
    <w:sectPr w:rsidR="00FC376E" w:rsidRPr="00FC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6E"/>
    <w:rsid w:val="007A1BFE"/>
    <w:rsid w:val="00F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2021-04-19T16:55:00Z</dcterms:created>
  <dcterms:modified xsi:type="dcterms:W3CDTF">2021-04-19T17:04:00Z</dcterms:modified>
</cp:coreProperties>
</file>