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E2" w:rsidRPr="00D83FE2" w:rsidRDefault="00D83FE2" w:rsidP="00D83FE2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53"/>
          <w:szCs w:val="53"/>
          <w:lang w:eastAsia="ru-RU"/>
        </w:rPr>
      </w:pPr>
      <w:r w:rsidRPr="00D83FE2">
        <w:rPr>
          <w:rFonts w:ascii="inherit" w:eastAsia="Times New Roman" w:hAnsi="inherit" w:cs="Arial"/>
          <w:color w:val="4E4E3F"/>
          <w:kern w:val="36"/>
          <w:sz w:val="53"/>
          <w:lang w:eastAsia="ru-RU"/>
        </w:rPr>
        <w:t>2.</w:t>
      </w:r>
      <w:r w:rsidRPr="00D83FE2">
        <w:rPr>
          <w:rFonts w:ascii="inherit" w:eastAsia="Times New Roman" w:hAnsi="inherit" w:cs="Arial"/>
          <w:color w:val="4E4E3F"/>
          <w:kern w:val="36"/>
          <w:sz w:val="53"/>
          <w:szCs w:val="53"/>
          <w:lang w:eastAsia="ru-RU"/>
        </w:rPr>
        <w:t> Энергетический обмен (катаболизм, диссимиляция)</w:t>
      </w:r>
    </w:p>
    <w:p w:rsidR="00D83FE2" w:rsidRPr="00D83FE2" w:rsidRDefault="00D83FE2" w:rsidP="00D83FE2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48"/>
          <w:szCs w:val="48"/>
          <w:lang w:eastAsia="ru-RU"/>
        </w:rPr>
      </w:pPr>
      <w:r w:rsidRPr="00D83FE2">
        <w:rPr>
          <w:rFonts w:ascii="inherit" w:eastAsia="Times New Roman" w:hAnsi="inherit" w:cs="Arial"/>
          <w:color w:val="FFFFFF"/>
          <w:sz w:val="48"/>
          <w:szCs w:val="48"/>
          <w:lang w:eastAsia="ru-RU"/>
        </w:rPr>
        <w:t>Теория: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Универсальным источником энергии во всех клетках служит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(</w:t>
      </w:r>
      <w:proofErr w:type="spell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аденозинтрифосфат</w:t>
      </w:r>
      <w:proofErr w:type="spell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 или аденозинтрифосфорная кислота).</w:t>
      </w:r>
    </w:p>
    <w:p w:rsidR="00D83FE2" w:rsidRPr="00D83FE2" w:rsidRDefault="00D83FE2" w:rsidP="00D83FE2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Все энергетические затраты любой клетки обеспечиваются за счёт универсального энергетического вещества —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ТФ.png" style="width:24pt;height:24pt"/>
        </w:pic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синтезируется в результате реакции </w:t>
      </w:r>
      <w:proofErr w:type="spellStart"/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фосфорилирования</w:t>
      </w:r>
      <w:proofErr w:type="spell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 то есть присоединения одного остатка фосфорной кислоты к молекуле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АДФ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(</w:t>
      </w:r>
      <w:proofErr w:type="spell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аденозиндифосфата</w:t>
      </w:r>
      <w:proofErr w:type="spell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):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76A900"/>
          <w:sz w:val="29"/>
          <w:lang w:eastAsia="ru-RU"/>
        </w:rPr>
        <w:t>АДФ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 +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PO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4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+ 40 </w:t>
      </w:r>
      <w:r w:rsidRPr="00D83FE2">
        <w:rPr>
          <w:rFonts w:ascii="Arial" w:eastAsia="Times New Roman" w:hAnsi="Arial" w:cs="Arial"/>
          <w:color w:val="76A900"/>
          <w:sz w:val="29"/>
          <w:lang w:eastAsia="ru-RU"/>
        </w:rPr>
        <w:t>кДж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 = </w:t>
      </w:r>
      <w:r w:rsidRPr="00D83FE2">
        <w:rPr>
          <w:rFonts w:ascii="Arial" w:eastAsia="Times New Roman" w:hAnsi="Arial" w:cs="Arial"/>
          <w:color w:val="76A900"/>
          <w:sz w:val="29"/>
          <w:lang w:eastAsia="ru-RU"/>
        </w:rPr>
        <w:t>АТФ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 +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Энергия запасается в форме энергии химических связей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  Химические связи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, при разрыве которых выделяется </w:t>
      </w:r>
      <w:proofErr w:type="gram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много энергии, называются</w:t>
      </w:r>
      <w:proofErr w:type="gram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макроэргическими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При распаде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до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АДФ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клетка за счёт разрыва макроэргической связи получит приблизительно 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40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кДж энергии.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Энергия для синтеза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из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АДФ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 выделяется в процессе диссимиляции.</w:t>
      </w:r>
    </w:p>
    <w:p w:rsidR="00D83FE2" w:rsidRPr="00D83FE2" w:rsidRDefault="00D83FE2" w:rsidP="00D83F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Энергетический обмен (диссимиляция, катаболизм)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— это совокупность химических реакций постепенного распада органических соединений, сопровождающихся высвобождением энергии, часть которой расходуется на синтез </w:t>
      </w:r>
      <w:r w:rsidRPr="00D83FE2">
        <w:rPr>
          <w:rFonts w:ascii="Arial" w:eastAsia="Times New Roman" w:hAnsi="Arial" w:cs="Arial"/>
          <w:i/>
          <w:iCs/>
          <w:color w:val="76A900"/>
          <w:sz w:val="28"/>
          <w:lang w:eastAsia="ru-RU"/>
        </w:rPr>
        <w:t>АТФ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 зависимости от среды обитания организма, диссимиляция может проходить в два или в три этапа.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Процессы расщепления органических соединений </w:t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у аэробных организмов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происходят </w:t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в три этапа: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подготовительный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 </w:t>
      </w:r>
      <w:proofErr w:type="spellStart"/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бескислородный</w:t>
      </w:r>
      <w:proofErr w:type="spellEnd"/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 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и</w:t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кислородный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 результате этого органические вещества распадаются до простейших неорганических соединений.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lastRenderedPageBreak/>
        <w:t>У анаэробных организмов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, обитающих в </w:t>
      </w:r>
      <w:proofErr w:type="spell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бескислородной</w:t>
      </w:r>
      <w:proofErr w:type="spell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 среде и не нуждающихся в кислороде (а также у аэробных организмов при недостатке кислорода), диссимиляция происходит </w:t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 xml:space="preserve">в два </w:t>
      </w:r>
      <w:proofErr w:type="spellStart"/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этапа</w:t>
      </w:r>
      <w:proofErr w:type="gramStart"/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: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п</w:t>
      </w:r>
      <w:proofErr w:type="gramEnd"/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одготовительный</w:t>
      </w:r>
      <w:proofErr w:type="spellEnd"/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 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и</w:t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 </w:t>
      </w:r>
      <w:proofErr w:type="spellStart"/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бескислородный</w:t>
      </w:r>
      <w:proofErr w:type="spell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proofErr w:type="gram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 двухэтапном энергетическом обмене энергии запасается гораздо меньше, чем в трёхэтапном.</w:t>
      </w:r>
      <w:proofErr w:type="gramEnd"/>
    </w:p>
    <w:p w:rsidR="00D83FE2" w:rsidRPr="00D83FE2" w:rsidRDefault="00D83FE2" w:rsidP="00D83FE2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53"/>
          <w:szCs w:val="53"/>
          <w:lang w:eastAsia="ru-RU"/>
        </w:rPr>
      </w:pPr>
      <w:r w:rsidRPr="00D83FE2">
        <w:rPr>
          <w:rFonts w:ascii="Arial" w:eastAsia="Times New Roman" w:hAnsi="Arial" w:cs="Arial"/>
          <w:color w:val="4E4E3F"/>
          <w:sz w:val="53"/>
          <w:szCs w:val="53"/>
          <w:lang w:eastAsia="ru-RU"/>
        </w:rPr>
        <w:t>Первый этап — подготовительный</w:t>
      </w:r>
    </w:p>
    <w:p w:rsidR="00D83FE2" w:rsidRPr="00D83FE2" w:rsidRDefault="00D83FE2" w:rsidP="00D83F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Подготовительный этап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заключается в распаде крупных органических молекул до более простых: полисахаридов — до моносахаридов, липидов — до глицерина и жирных кислот, белков — до аминокислот.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Этот процесс называется пищеварением. У многоклеточных организмов он </w:t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осуществляется в желудочно-кишечном тракте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с помощью пищеварительных ферментов. У одноклеточных организмов — происходит под действием ферментов лизосом.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 ходе биохимических реакций, происходящих на этом этапе, энергии выделяется мало, она рассеивается в виде тепла, и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  не образуется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53"/>
          <w:szCs w:val="53"/>
          <w:lang w:eastAsia="ru-RU"/>
        </w:rPr>
      </w:pPr>
      <w:r w:rsidRPr="00D83FE2">
        <w:rPr>
          <w:rFonts w:ascii="Arial" w:eastAsia="Times New Roman" w:hAnsi="Arial" w:cs="Arial"/>
          <w:color w:val="4E4E3F"/>
          <w:sz w:val="53"/>
          <w:szCs w:val="53"/>
          <w:lang w:eastAsia="ru-RU"/>
        </w:rPr>
        <w:t xml:space="preserve">Второй этап — </w:t>
      </w:r>
      <w:proofErr w:type="spellStart"/>
      <w:r w:rsidRPr="00D83FE2">
        <w:rPr>
          <w:rFonts w:ascii="Arial" w:eastAsia="Times New Roman" w:hAnsi="Arial" w:cs="Arial"/>
          <w:color w:val="4E4E3F"/>
          <w:sz w:val="53"/>
          <w:szCs w:val="53"/>
          <w:lang w:eastAsia="ru-RU"/>
        </w:rPr>
        <w:t>бескислородный</w:t>
      </w:r>
      <w:proofErr w:type="spellEnd"/>
      <w:r w:rsidRPr="00D83FE2">
        <w:rPr>
          <w:rFonts w:ascii="Arial" w:eastAsia="Times New Roman" w:hAnsi="Arial" w:cs="Arial"/>
          <w:color w:val="4E4E3F"/>
          <w:sz w:val="53"/>
          <w:szCs w:val="53"/>
          <w:lang w:eastAsia="ru-RU"/>
        </w:rPr>
        <w:t xml:space="preserve"> (гликолиз)</w:t>
      </w:r>
    </w:p>
    <w:p w:rsidR="00D83FE2" w:rsidRPr="00D83FE2" w:rsidRDefault="00D83FE2" w:rsidP="00D83F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Второй (</w:t>
      </w:r>
      <w:proofErr w:type="spellStart"/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бескислородный</w:t>
      </w:r>
      <w:proofErr w:type="spellEnd"/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) этап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заключается в ферментативном расщеплении органических веществ, которые были получены в ходе подготовительного этапа. Кислород в реакциях этого этапа не участвует.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Биологический смысл второго этапа заключается в начале постепенного расщепления и окисления глюкозы с накоплением энергии в виде 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2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молекул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 xml:space="preserve">Процесс </w:t>
      </w:r>
      <w:proofErr w:type="spellStart"/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бескислородного</w:t>
      </w:r>
      <w:proofErr w:type="spellEnd"/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 xml:space="preserve"> расщепления глюкозы называется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гликолиз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Гликолиз происходит в цитоплазме клеток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Он состоит из нескольких последовательных реакций превращения молекулы глюкозы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12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6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в две молекулы пировиноградной кислоты — ПВК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4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и две молекулы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(в виде которой запасается примерно 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40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% энергии, выделившейся при гликолизе). Остальная энергия (около 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60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%) рассеивается в виде тепла.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lastRenderedPageBreak/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12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6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 +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PO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4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+ 2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АДФ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 =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4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+2</w:t>
      </w:r>
      <w:r w:rsidRPr="00D83FE2">
        <w:rPr>
          <w:rFonts w:ascii="Arial" w:eastAsia="Times New Roman" w:hAnsi="Arial" w:cs="Arial"/>
          <w:color w:val="76A900"/>
          <w:sz w:val="29"/>
          <w:lang w:eastAsia="ru-RU"/>
        </w:rPr>
        <w:t>АТФ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 +2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Получившаяся пировиноградная кислота при недостатке кислорода в клетках животных, а также клетках многих грибов и микроорганизмов, превращается в молочную кислоту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HOOC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−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CO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−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Arial" w:eastAsia="Times New Roman" w:hAnsi="Arial" w:cs="Arial"/>
          <w:color w:val="76A900"/>
          <w:sz w:val="24"/>
          <w:szCs w:val="24"/>
          <w:lang w:eastAsia="ru-RU"/>
        </w:rPr>
        <w:t>пировиноградная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 </w:t>
      </w:r>
      <w:r w:rsidRPr="00D83FE2">
        <w:rPr>
          <w:rFonts w:ascii="Arial" w:eastAsia="Times New Roman" w:hAnsi="Arial" w:cs="Arial"/>
          <w:color w:val="76A900"/>
          <w:sz w:val="24"/>
          <w:szCs w:val="24"/>
          <w:lang w:eastAsia="ru-RU"/>
        </w:rPr>
        <w:t>кислота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−→−−−−−−−−−−−</w:t>
      </w:r>
      <w:r w:rsidRPr="00D83FE2">
        <w:rPr>
          <w:rFonts w:ascii="Arial" w:eastAsia="Times New Roman" w:hAnsi="Arial" w:cs="Arial"/>
          <w:i/>
          <w:iCs/>
          <w:color w:val="76A900"/>
          <w:sz w:val="24"/>
          <w:szCs w:val="24"/>
          <w:lang w:eastAsia="ru-RU"/>
        </w:rPr>
        <w:t>НАД</w:t>
      </w:r>
      <w:r w:rsidRPr="00D83FE2">
        <w:rPr>
          <w:rFonts w:ascii="Cambria Math" w:eastAsia="Times New Roman" w:hAnsi="Cambria Math" w:cs="Cambria Math"/>
          <w:color w:val="76A900"/>
          <w:sz w:val="30"/>
          <w:lang w:eastAsia="ru-RU"/>
        </w:rPr>
        <w:t>⋅</w:t>
      </w:r>
      <w:r w:rsidRPr="00D83FE2">
        <w:rPr>
          <w:rFonts w:ascii="MathJax_Math-italic" w:eastAsia="Times New Roman" w:hAnsi="MathJax_Math-italic" w:cs="Arial"/>
          <w:color w:val="76A900"/>
          <w:sz w:val="30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+</w:t>
      </w:r>
      <w:r w:rsidRPr="00D83FE2">
        <w:rPr>
          <w:rFonts w:ascii="MathJax_Math-italic" w:eastAsia="Times New Roman" w:hAnsi="MathJax_Math-italic" w:cs="Arial"/>
          <w:color w:val="76A900"/>
          <w:sz w:val="30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25"/>
          <w:lang w:eastAsia="ru-RU"/>
        </w:rPr>
        <w:t>+</w:t>
      </w:r>
      <w:r w:rsidRPr="00D83FE2">
        <w:rPr>
          <w:rFonts w:ascii="Arial" w:eastAsia="Times New Roman" w:hAnsi="Arial" w:cs="Arial"/>
          <w:i/>
          <w:iCs/>
          <w:color w:val="76A900"/>
          <w:sz w:val="24"/>
          <w:szCs w:val="24"/>
          <w:lang w:eastAsia="ru-RU"/>
        </w:rPr>
        <w:t>лактатдегидрогеназа</w:t>
      </w:r>
      <w:proofErr w:type="gramStart"/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HOOC</w:t>
      </w:r>
      <w:proofErr w:type="gramEnd"/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−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CHOH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−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3</w:t>
      </w:r>
      <w:r w:rsidRPr="00D83FE2">
        <w:rPr>
          <w:rFonts w:ascii="Arial" w:eastAsia="Times New Roman" w:hAnsi="Arial" w:cs="Arial"/>
          <w:color w:val="76A900"/>
          <w:sz w:val="24"/>
          <w:szCs w:val="24"/>
          <w:lang w:eastAsia="ru-RU"/>
        </w:rPr>
        <w:t>молочная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 </w:t>
      </w:r>
      <w:r w:rsidRPr="00D83FE2">
        <w:rPr>
          <w:rFonts w:ascii="Arial" w:eastAsia="Times New Roman" w:hAnsi="Arial" w:cs="Arial"/>
          <w:color w:val="76A900"/>
          <w:sz w:val="24"/>
          <w:szCs w:val="24"/>
          <w:lang w:eastAsia="ru-RU"/>
        </w:rPr>
        <w:t>кислота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В мышцах человека при больших нагрузках и нехватке кислорода образуется молочная кислота и появляется боль. У нетренированных людей это происходит быстрее, чем у людей тренированных.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При недостатке кислорода в клетках растений, а также в клетках некоторых грибов (например, дрожжей), вместо гликолиза происходит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спиртовое брожение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: пировиноградная кислота распадается на этиловый спирт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5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OH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и углекислый газ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: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val="en-US" w:eastAsia="ru-RU"/>
        </w:rPr>
      </w:pP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12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6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</w:t>
      </w:r>
      <w:r w:rsidRPr="00D83FE2">
        <w:rPr>
          <w:rFonts w:ascii="MathJax_Main-italic" w:eastAsia="Times New Roman" w:hAnsi="MathJax_Main-italic" w:cs="Arial"/>
          <w:color w:val="76A900"/>
          <w:sz w:val="35"/>
          <w:lang w:val="en-US"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3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PO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4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+2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АДФ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=</w:t>
      </w:r>
      <w:r w:rsidRPr="00D83FE2">
        <w:rPr>
          <w:rFonts w:ascii="MathJax_Main-italic" w:eastAsia="Times New Roman" w:hAnsi="MathJax_Main-italic" w:cs="Arial"/>
          <w:color w:val="76A900"/>
          <w:sz w:val="35"/>
          <w:lang w:val="en-US"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5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OH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CO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2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+2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O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val="en-US" w:eastAsia="ru-RU"/>
        </w:rPr>
        <w:t>.</w:t>
      </w:r>
    </w:p>
    <w:p w:rsidR="00D83FE2" w:rsidRPr="00D83FE2" w:rsidRDefault="00D83FE2" w:rsidP="00D83FE2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53"/>
          <w:szCs w:val="53"/>
          <w:lang w:eastAsia="ru-RU"/>
        </w:rPr>
      </w:pPr>
      <w:r w:rsidRPr="00D83FE2">
        <w:rPr>
          <w:rFonts w:ascii="Arial" w:eastAsia="Times New Roman" w:hAnsi="Arial" w:cs="Arial"/>
          <w:color w:val="4E4E3F"/>
          <w:sz w:val="53"/>
          <w:szCs w:val="53"/>
          <w:lang w:eastAsia="ru-RU"/>
        </w:rPr>
        <w:t>Третий этап — кислородный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 результате гликолиза глюкоза распадается не до конечных продуктов (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и 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), а до богатых энергией соединений (молочная кислота, этиловый спирт) </w:t>
      </w:r>
      <w:proofErr w:type="gram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которые</w:t>
      </w:r>
      <w:proofErr w:type="gram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 окисляясь дальше, могут дать её в больших количествах. Поэтом</w:t>
      </w:r>
      <w:proofErr w:type="gram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у у аэ</w:t>
      </w:r>
      <w:proofErr w:type="gram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робных организмов после гликолиза (или спиртового брожения) следует третий, завершающий этап энергетического обмена —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полное кислородное расщепление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 или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клеточное дыхание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Этот этап </w:t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 xml:space="preserve">происходит на </w:t>
      </w:r>
      <w:proofErr w:type="spellStart"/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кристах</w:t>
      </w:r>
      <w:proofErr w:type="spellEnd"/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 xml:space="preserve"> митохондрий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Третий этап, так же как и гликолиз, является многостадийным и состоит из двух последовательных процессов —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цикла Кребса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и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 xml:space="preserve">окислительного </w:t>
      </w:r>
      <w:proofErr w:type="spellStart"/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фосфорилирования</w:t>
      </w:r>
      <w:proofErr w:type="spell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Третий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(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кислородный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) 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этап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заключается в том, что при кислородном дыхании ПВК окисляется до окончательных продуктов — углекислого газа и воды, а энергия, выделяющаяся при окислении, запасается в виде  </w:t>
      </w:r>
      <w:r w:rsidRPr="00D83FE2">
        <w:rPr>
          <w:rFonts w:ascii="MathJax_Main" w:eastAsia="Times New Roman" w:hAnsi="MathJax_Main" w:cs="Arial"/>
          <w:color w:val="76A900"/>
          <w:sz w:val="36"/>
          <w:lang w:eastAsia="ru-RU"/>
        </w:rPr>
        <w:t>36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молекул </w:t>
      </w:r>
      <w:r w:rsidRPr="00D83FE2">
        <w:rPr>
          <w:rFonts w:ascii="Arial" w:eastAsia="Times New Roman" w:hAnsi="Arial" w:cs="Arial"/>
          <w:i/>
          <w:iCs/>
          <w:color w:val="76A900"/>
          <w:sz w:val="28"/>
          <w:lang w:eastAsia="ru-RU"/>
        </w:rPr>
        <w:t>АТФ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 (</w:t>
      </w:r>
      <w:r w:rsidRPr="00D83FE2">
        <w:rPr>
          <w:rFonts w:ascii="MathJax_Main" w:eastAsia="Times New Roman" w:hAnsi="MathJax_Main" w:cs="Arial"/>
          <w:color w:val="76A900"/>
          <w:sz w:val="36"/>
          <w:lang w:eastAsia="ru-RU"/>
        </w:rPr>
        <w:t>2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молекулы в цикле Кребса и </w:t>
      </w:r>
      <w:r w:rsidRPr="00D83FE2">
        <w:rPr>
          <w:rFonts w:ascii="MathJax_Main" w:eastAsia="Times New Roman" w:hAnsi="MathJax_Main" w:cs="Arial"/>
          <w:color w:val="76A900"/>
          <w:sz w:val="36"/>
          <w:lang w:eastAsia="ru-RU"/>
        </w:rPr>
        <w:t>34</w:t>
      </w:r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 xml:space="preserve"> молекулы в ходе окислительного </w:t>
      </w:r>
      <w:proofErr w:type="spellStart"/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фосфорилирования</w:t>
      </w:r>
      <w:proofErr w:type="spellEnd"/>
      <w:r w:rsidRPr="00D83FE2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).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lastRenderedPageBreak/>
        <w:t>Этот этап можно представить себе в следующем виде: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val="en-US" w:eastAsia="ru-RU"/>
        </w:rPr>
      </w:pPr>
      <w:r w:rsidRPr="00D83FE2">
        <w:rPr>
          <w:rFonts w:ascii="MathJax_Main-italic" w:eastAsia="Times New Roman" w:hAnsi="MathJax_Main-italic" w:cs="Arial"/>
          <w:color w:val="76A900"/>
          <w:sz w:val="35"/>
          <w:lang w:val="en-US"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3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4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3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</w:t>
      </w:r>
      <w:r w:rsidRPr="00D83FE2">
        <w:rPr>
          <w:rFonts w:ascii="MathJax_Main-italic" w:eastAsia="Times New Roman" w:hAnsi="MathJax_Main-italic" w:cs="Arial"/>
          <w:color w:val="76A900"/>
          <w:sz w:val="35"/>
          <w:lang w:val="en-US"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2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</w:t>
      </w:r>
      <w:r w:rsidRPr="00D83FE2">
        <w:rPr>
          <w:rFonts w:ascii="MathJax_Main-italic" w:eastAsia="Times New Roman" w:hAnsi="MathJax_Main-italic" w:cs="Arial"/>
          <w:color w:val="76A900"/>
          <w:sz w:val="35"/>
          <w:lang w:val="en-US" w:eastAsia="ru-RU"/>
        </w:rPr>
        <w:t>36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3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PO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4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</w:t>
      </w:r>
      <w:r w:rsidRPr="00D83FE2">
        <w:rPr>
          <w:rFonts w:ascii="MathJax_Main-italic" w:eastAsia="Times New Roman" w:hAnsi="MathJax_Main-italic" w:cs="Arial"/>
          <w:color w:val="76A900"/>
          <w:sz w:val="35"/>
          <w:lang w:val="en-US" w:eastAsia="ru-RU"/>
        </w:rPr>
        <w:t>36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АДФ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=</w:t>
      </w:r>
      <w:r w:rsidRPr="00D83FE2">
        <w:rPr>
          <w:rFonts w:ascii="MathJax_Main-italic" w:eastAsia="Times New Roman" w:hAnsi="MathJax_Main-italic" w:cs="Arial"/>
          <w:color w:val="76A900"/>
          <w:sz w:val="35"/>
          <w:lang w:val="en-US"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CO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2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+42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val="en-US"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val="en-US"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5"/>
          <w:lang w:val="en-US" w:eastAsia="ru-RU"/>
        </w:rPr>
        <w:t>+36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val="en-US"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Вспомним, что ещё две молекулы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 запасаются в ходе </w:t>
      </w:r>
      <w:proofErr w:type="spell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бескислородного</w:t>
      </w:r>
      <w:proofErr w:type="spell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 расщепления каждой молекулы глюкозы (на втором, </w:t>
      </w:r>
      <w:proofErr w:type="spellStart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бескислородном</w:t>
      </w:r>
      <w:proofErr w:type="spellEnd"/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 этапе). Таким образом, в результате полного расщепления одной молекулы глюкозы образуется 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38</w:t>
      </w:r>
      <w:r w:rsidRPr="00D83FE2">
        <w:rPr>
          <w:rFonts w:ascii="Arial" w:eastAsia="Times New Roman" w:hAnsi="Arial" w:cs="Arial"/>
          <w:b/>
          <w:bCs/>
          <w:color w:val="76A900"/>
          <w:sz w:val="28"/>
          <w:lang w:eastAsia="ru-RU"/>
        </w:rPr>
        <w:t> молекул 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</w: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Суммарная реакция энергетического обмена: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Arial" w:eastAsia="Times New Roman" w:hAnsi="Arial" w:cs="Arial"/>
          <w:b/>
          <w:bCs/>
          <w:color w:val="4E4E3F"/>
          <w:sz w:val="28"/>
          <w:lang w:eastAsia="ru-RU"/>
        </w:rPr>
        <w:t> 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D83FE2" w:rsidRPr="00D83FE2" w:rsidRDefault="00D83FE2" w:rsidP="00D83F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12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6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+</w:t>
      </w:r>
      <w:r w:rsidRPr="00D83FE2">
        <w:rPr>
          <w:rFonts w:ascii="MathJax_Main-italic" w:eastAsia="Times New Roman" w:hAnsi="MathJax_Main-italic" w:cs="Arial"/>
          <w:color w:val="76A900"/>
          <w:sz w:val="35"/>
          <w:lang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=</w:t>
      </w:r>
      <w:r w:rsidRPr="00D83FE2">
        <w:rPr>
          <w:rFonts w:ascii="MathJax_Main-italic" w:eastAsia="Times New Roman" w:hAnsi="MathJax_Main-italic" w:cs="Arial"/>
          <w:color w:val="76A900"/>
          <w:sz w:val="35"/>
          <w:lang w:eastAsia="ru-RU"/>
        </w:rPr>
        <w:t>6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CO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+6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H</w:t>
      </w:r>
      <w:r w:rsidRPr="00D83FE2">
        <w:rPr>
          <w:rFonts w:ascii="MathJax_Main" w:eastAsia="Times New Roman" w:hAnsi="MathJax_Main" w:cs="Arial"/>
          <w:color w:val="76A900"/>
          <w:sz w:val="30"/>
          <w:lang w:eastAsia="ru-RU"/>
        </w:rPr>
        <w:t>2</w:t>
      </w:r>
      <w:r w:rsidRPr="00D83FE2">
        <w:rPr>
          <w:rFonts w:ascii="MathJax_Math-italic" w:eastAsia="Times New Roman" w:hAnsi="MathJax_Math-italic" w:cs="Arial"/>
          <w:color w:val="76A900"/>
          <w:sz w:val="35"/>
          <w:lang w:eastAsia="ru-RU"/>
        </w:rPr>
        <w:t>O</w:t>
      </w:r>
      <w:r w:rsidRPr="00D83FE2">
        <w:rPr>
          <w:rFonts w:ascii="MathJax_Main" w:eastAsia="Times New Roman" w:hAnsi="MathJax_Main" w:cs="Arial"/>
          <w:color w:val="76A900"/>
          <w:sz w:val="35"/>
          <w:lang w:eastAsia="ru-RU"/>
        </w:rPr>
        <w:t>+38</w:t>
      </w:r>
      <w:r w:rsidRPr="00D83FE2">
        <w:rPr>
          <w:rFonts w:ascii="Arial" w:eastAsia="Times New Roman" w:hAnsi="Arial" w:cs="Arial"/>
          <w:i/>
          <w:iCs/>
          <w:color w:val="76A900"/>
          <w:sz w:val="29"/>
          <w:lang w:eastAsia="ru-RU"/>
        </w:rPr>
        <w:t>АТФ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</w:r>
      <w:r w:rsidRPr="00D83FE2">
        <w:rPr>
          <w:rFonts w:ascii="Arial" w:eastAsia="Times New Roman" w:hAnsi="Arial" w:cs="Arial"/>
          <w:color w:val="4E4E3F"/>
          <w:sz w:val="28"/>
          <w:szCs w:val="28"/>
          <w:lang w:eastAsia="ru-RU"/>
        </w:rPr>
        <w:br/>
        <w:t>Для получения энергии в клетках, кроме глюкозы, могут быть использованы и другие вещества: липиды, белки. Однако ведущая роль в энергетическом обмене у большинства организмов принадлежит сахарам.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i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3FE2"/>
    <w:rsid w:val="00800B6F"/>
    <w:rsid w:val="008A6629"/>
    <w:rsid w:val="00D8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paragraph" w:styleId="1">
    <w:name w:val="heading 1"/>
    <w:basedOn w:val="a"/>
    <w:link w:val="10"/>
    <w:uiPriority w:val="9"/>
    <w:qFormat/>
    <w:rsid w:val="00D83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83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F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3F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D83FE2"/>
  </w:style>
  <w:style w:type="character" w:customStyle="1" w:styleId="mi">
    <w:name w:val="mi"/>
    <w:basedOn w:val="a0"/>
    <w:rsid w:val="00D83FE2"/>
  </w:style>
  <w:style w:type="character" w:customStyle="1" w:styleId="gxst-color-emph">
    <w:name w:val="gxst-color-emph"/>
    <w:basedOn w:val="a0"/>
    <w:rsid w:val="00D83FE2"/>
  </w:style>
  <w:style w:type="character" w:styleId="a3">
    <w:name w:val="Strong"/>
    <w:basedOn w:val="a0"/>
    <w:uiPriority w:val="22"/>
    <w:qFormat/>
    <w:rsid w:val="00D83FE2"/>
    <w:rPr>
      <w:b/>
      <w:bCs/>
    </w:rPr>
  </w:style>
  <w:style w:type="character" w:customStyle="1" w:styleId="mo">
    <w:name w:val="mo"/>
    <w:basedOn w:val="a0"/>
    <w:rsid w:val="00D83FE2"/>
  </w:style>
  <w:style w:type="character" w:customStyle="1" w:styleId="mn">
    <w:name w:val="mn"/>
    <w:basedOn w:val="a0"/>
    <w:rsid w:val="00D83FE2"/>
  </w:style>
  <w:style w:type="character" w:customStyle="1" w:styleId="gxst-emph">
    <w:name w:val="gxst-emph"/>
    <w:basedOn w:val="a0"/>
    <w:rsid w:val="00D83FE2"/>
  </w:style>
  <w:style w:type="character" w:customStyle="1" w:styleId="mtext">
    <w:name w:val="mtext"/>
    <w:basedOn w:val="a0"/>
    <w:rsid w:val="00D83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16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9458">
                                  <w:marLeft w:val="0"/>
                                  <w:marRight w:val="0"/>
                                  <w:marTop w:val="444"/>
                                  <w:marBottom w:val="444"/>
                                  <w:divBdr>
                                    <w:top w:val="single" w:sz="6" w:space="18" w:color="76A900"/>
                                    <w:left w:val="single" w:sz="6" w:space="22" w:color="76A900"/>
                                    <w:bottom w:val="single" w:sz="6" w:space="18" w:color="76A900"/>
                                    <w:right w:val="single" w:sz="6" w:space="22" w:color="76A900"/>
                                  </w:divBdr>
                                </w:div>
                              </w:divsChild>
                            </w:div>
                            <w:div w:id="6198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4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1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4997">
                          <w:marLeft w:val="0"/>
                          <w:marRight w:val="0"/>
                          <w:marTop w:val="444"/>
                          <w:marBottom w:val="4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9934">
                              <w:marLeft w:val="0"/>
                              <w:marRight w:val="0"/>
                              <w:marTop w:val="444"/>
                              <w:marBottom w:val="444"/>
                              <w:divBdr>
                                <w:top w:val="single" w:sz="6" w:space="18" w:color="76A900"/>
                                <w:left w:val="single" w:sz="6" w:space="22" w:color="76A900"/>
                                <w:bottom w:val="single" w:sz="6" w:space="18" w:color="76A900"/>
                                <w:right w:val="single" w:sz="6" w:space="22" w:color="76A900"/>
                              </w:divBdr>
                            </w:div>
                          </w:divsChild>
                        </w:div>
                        <w:div w:id="152859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84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61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98589">
                          <w:marLeft w:val="0"/>
                          <w:marRight w:val="0"/>
                          <w:marTop w:val="444"/>
                          <w:marBottom w:val="4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872814">
                          <w:marLeft w:val="0"/>
                          <w:marRight w:val="0"/>
                          <w:marTop w:val="444"/>
                          <w:marBottom w:val="4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5264">
                              <w:marLeft w:val="0"/>
                              <w:marRight w:val="0"/>
                              <w:marTop w:val="444"/>
                              <w:marBottom w:val="444"/>
                              <w:divBdr>
                                <w:top w:val="single" w:sz="6" w:space="18" w:color="76A900"/>
                                <w:left w:val="single" w:sz="6" w:space="22" w:color="76A900"/>
                                <w:bottom w:val="single" w:sz="6" w:space="18" w:color="76A900"/>
                                <w:right w:val="single" w:sz="6" w:space="22" w:color="76A900"/>
                              </w:divBdr>
                            </w:div>
                          </w:divsChild>
                        </w:div>
                        <w:div w:id="156351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7695">
                          <w:marLeft w:val="0"/>
                          <w:marRight w:val="0"/>
                          <w:marTop w:val="444"/>
                          <w:marBottom w:val="4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3398">
                          <w:marLeft w:val="0"/>
                          <w:marRight w:val="0"/>
                          <w:marTop w:val="444"/>
                          <w:marBottom w:val="4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0587">
                              <w:marLeft w:val="0"/>
                              <w:marRight w:val="0"/>
                              <w:marTop w:val="444"/>
                              <w:marBottom w:val="444"/>
                              <w:divBdr>
                                <w:top w:val="single" w:sz="6" w:space="18" w:color="76A900"/>
                                <w:left w:val="single" w:sz="6" w:space="22" w:color="76A900"/>
                                <w:bottom w:val="single" w:sz="6" w:space="18" w:color="76A900"/>
                                <w:right w:val="single" w:sz="6" w:space="22" w:color="76A900"/>
                              </w:divBdr>
                            </w:div>
                          </w:divsChild>
                        </w:div>
                        <w:div w:id="106020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44291">
                          <w:marLeft w:val="0"/>
                          <w:marRight w:val="0"/>
                          <w:marTop w:val="444"/>
                          <w:marBottom w:val="4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2968">
                              <w:marLeft w:val="0"/>
                              <w:marRight w:val="0"/>
                              <w:marTop w:val="444"/>
                              <w:marBottom w:val="444"/>
                              <w:divBdr>
                                <w:top w:val="single" w:sz="6" w:space="18" w:color="76A900"/>
                                <w:left w:val="single" w:sz="6" w:space="22" w:color="76A900"/>
                                <w:bottom w:val="single" w:sz="6" w:space="18" w:color="76A900"/>
                                <w:right w:val="single" w:sz="6" w:space="22" w:color="76A900"/>
                              </w:divBdr>
                            </w:div>
                          </w:divsChild>
                        </w:div>
                        <w:div w:id="50764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47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43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8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2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251076">
                          <w:marLeft w:val="0"/>
                          <w:marRight w:val="0"/>
                          <w:marTop w:val="444"/>
                          <w:marBottom w:val="4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7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3662">
                          <w:marLeft w:val="0"/>
                          <w:marRight w:val="0"/>
                          <w:marTop w:val="444"/>
                          <w:marBottom w:val="4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51247">
                              <w:marLeft w:val="0"/>
                              <w:marRight w:val="0"/>
                              <w:marTop w:val="444"/>
                              <w:marBottom w:val="444"/>
                              <w:divBdr>
                                <w:top w:val="single" w:sz="6" w:space="18" w:color="76A900"/>
                                <w:left w:val="single" w:sz="6" w:space="22" w:color="76A900"/>
                                <w:bottom w:val="single" w:sz="6" w:space="18" w:color="76A900"/>
                                <w:right w:val="single" w:sz="6" w:space="22" w:color="76A900"/>
                              </w:divBdr>
                            </w:div>
                          </w:divsChild>
                        </w:div>
                        <w:div w:id="9588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04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60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53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2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7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9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9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1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15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97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42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648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660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44"/>
                                                                                  <w:marBottom w:val="444"/>
                                                                                  <w:divBdr>
                                                                                    <w:top w:val="single" w:sz="6" w:space="0" w:color="76A900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692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759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719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42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7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392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332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893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555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078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532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4766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7159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8170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162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4654</Characters>
  <Application>Microsoft Office Word</Application>
  <DocSecurity>0</DocSecurity>
  <Lines>38</Lines>
  <Paragraphs>10</Paragraphs>
  <ScaleCrop>false</ScaleCrop>
  <Company>Microsoft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cp:lastPrinted>2020-02-27T19:27:00Z</cp:lastPrinted>
  <dcterms:created xsi:type="dcterms:W3CDTF">2020-02-27T19:26:00Z</dcterms:created>
  <dcterms:modified xsi:type="dcterms:W3CDTF">2020-02-27T19:28:00Z</dcterms:modified>
</cp:coreProperties>
</file>