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Муниципальное бюджетное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Конзаводская средняя общеобразовательная школа Зерноградского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имени Героя Российской Федерации Зозули А.С.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 xml:space="preserve">      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 xml:space="preserve">  </w:t>
      </w:r>
      <w:r>
        <w:rPr>
          <w:rFonts w:eastAsia="Calibri" w:cs="Times New Roman" w:ascii="Times New Roman" w:hAnsi="Times New Roman"/>
          <w:sz w:val="24"/>
          <w:lang w:eastAsia="ru-RU"/>
        </w:rPr>
        <w:t>«Утверждаю»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Директор МБОУ Конзаводская СОШ                                                              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Приказ от 29 августа 2025 года № 298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>________________ /О.П. Демьяненко/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  <w:t>РАБОЧАЯ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  <w:t>по внеурочной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40"/>
          <w:lang w:eastAsia="ru-RU"/>
        </w:rPr>
        <w:t>«Основы функциональной, правовой и финансовой грамотности»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>основного общего образования 9а класс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>Количество часов по учебному плану: 9а  класс - 3</w:t>
      </w:r>
      <w:r>
        <w:rPr>
          <w:rFonts w:eastAsia="Calibri" w:cs="Times New Roman" w:ascii="Times New Roman" w:hAnsi="Times New Roman"/>
          <w:sz w:val="32"/>
          <w:lang w:eastAsia="ru-RU"/>
        </w:rPr>
        <w:t>3</w:t>
      </w:r>
      <w:r>
        <w:rPr>
          <w:rFonts w:eastAsia="Calibri" w:cs="Times New Roman" w:ascii="Times New Roman" w:hAnsi="Times New Roman"/>
          <w:sz w:val="32"/>
          <w:lang w:eastAsia="ru-RU"/>
        </w:rPr>
        <w:t xml:space="preserve"> ч. (1 час в неделю)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 xml:space="preserve">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 xml:space="preserve">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>Учитель: Яврян Нарине Гариковна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2025 – 2026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. 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Рабочая программа внеурочной деятельности «Основы финансовой грамотности»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Федерального закона от 29.12.2012 № 273-ФЗ «Об образовании в Российской Федерации»;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Концепция Национальной программы повышения уровня финансовой грамотности населения РФ;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Проект Минфина России «Содействие повышению уровня финансовой грамотности населения и развитию финансового образования в РФ».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 данной программы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5-10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Новизной данной программы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Отличительной особенностью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программы данного курса является то, что он базируется на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системно-деятельностном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Это определило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цели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данного курса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создание комфортных условий, способствующих формированию коммуникативных компетенций;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формировать основы культуры и индивидуального стиля экономического поведения, ценностей деловой этики;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воспитывать ответственность за экономические решения.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– 1 год.</w:t>
      </w:r>
    </w:p>
    <w:p>
      <w:pPr>
        <w:pStyle w:val="Normal"/>
        <w:shd w:val="clear" w:color="auto" w:fill="FFFFFF"/>
        <w:spacing w:lineRule="auto" w:line="240" w:before="0" w:after="0"/>
        <w:ind w:firstLine="710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Объем часов, отпущенных на занятия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часа в год при 1 часе в неделю.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Формы реализации программы.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Для реализации поставленных целей предлагаются следующие формы организации учебного процесса: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Методы обучения.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 процессе обучения используются: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Приемы актуализации субъективного опыта учащихся;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Методы диалога и полилога;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Приемы создания коллективного и индивидуального выбора;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Игровые методы;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Методы диагностики и самодиагностики;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Технологии критического мышления;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 Информационно-коммуникационные технологии;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 Технологии коллективного метода обучения.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 w:eastAsia="ru-RU"/>
        </w:rPr>
        <w:t>II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. Планируемые результаты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Личностными результатами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 изучения курса «Финансовая грамотность»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Метапредметными результатами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 изучения курса «Финансовая грамотность»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Познавательные: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овладение базовыми предметными и межпредметными понятиями.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Регулятивные: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понимание цели своих действий;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планирование действия с помощью учителя и самостоятельно;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проявление познавательной и творческой инициативы;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оценка правильности выполнения действий; самооценка и взаимооценка;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адекватное восприятие предложений товарищей, учителей, родителей.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Коммуникативные: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составление текстов в устной и письменной формах;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готовность слушать собеседника и вести диалог;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умение излагать своё мнение, аргументировать свою точку зрения и давать оценку событий;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Предметными результатами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 изучения курса «Финансовая грамотность»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понимание и правильное использование экономических терминов;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освоение приёмов работы с экономической информацией, её осмысление; проведение простых финансовых расчётов.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val="en-US" w:eastAsia="ru-RU"/>
        </w:rPr>
        <w:t>III</w:t>
      </w:r>
      <w:r>
        <w:rPr>
          <w:rFonts w:eastAsia="Calibri" w:cs="Times New Roman" w:ascii="Times New Roman" w:hAnsi="Times New Roman"/>
          <w:b/>
          <w:sz w:val="24"/>
          <w:lang w:eastAsia="ru-RU"/>
        </w:rPr>
        <w:t>. Содержание курса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РАЗДЕЛ. ФИНАНСОВЫЙ БИЗНЕС: ЧЕМ ОН МОЖЕТ ПОМОЧЬ СЕМЬЕ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Банковские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Банки принимают вклады и выдают кредиты. Процентная ставка по вкладам зависит от размера вклада и его срока. При прекращении деятельности банка вкладчикам гарантируется возврат средств. Процентная ставка по кредитам выше процентной ставки по вкладам.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Основные понятия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Банки. Вклады (депозиты). Процентная ставка. Страхование вкладов. Агентство по страхованию вкладов. Кредит. Залог.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Компетенции: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Приводить примеры банковских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Описывать условия вкладов и кредитов.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от чего зависит размер выплат по вкладу.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почему и как страхуются вклады.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Находить информацию о вкладах и кредитах.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 причины и последствия решений о взятии кредита.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 условия кредита, приводить примеры.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Рассчитывать проценты по депозитам и кредитам.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 принцип работы пластиковой карты.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Собственный бизнес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Организация бизнеса. Разработка бизнес-плана. Стартовый капитал. Организации по поддержке малого бизнеса.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Основные понятия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Бизнес. Малый бизнес. Бизнес-план. Кредит.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Компетенции: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Сравнивать возможности работы по найму и собственного бизнеса.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как и почему государство и частные организации поддерживают малый бизнес.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что такое бизнес-план.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Приводить примеры бизнеса, которым занимаются подростки.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Валюта в современном мире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Валюта — денежная единица страны. Разные страны имеют разные валюты. Цена одной валюты, выраженная в другой валюте, называется валютным курсом. Процентные ставки по валютным вкладам отличаются от ставок по вкладам в национальной валюте.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Основные понятия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Валюта. Валютный курс. Обменный пункт. Валютный вклад.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Компетенции: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Приводить примеры валют разных стран.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что такое валютный курс.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Находить информацию о валютных курсах.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Проводить расчёты с валютными курсами.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Итоговая работа по курсу «Финансовая грамотность».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val="en-US" w:eastAsia="ru-RU"/>
        </w:rPr>
        <w:t>IV</w:t>
      </w: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  <w:t>. КАЛЕНДАРНО-ТЕМАТИЧЕСКИЙ ПЛАН</w:t>
      </w:r>
    </w:p>
    <w:tbl>
      <w:tblPr>
        <w:tblW w:w="10916" w:type="dxa"/>
        <w:jc w:val="left"/>
        <w:tblInd w:w="-169" w:type="dxa"/>
        <w:tblCellMar>
          <w:top w:w="0" w:type="dxa"/>
          <w:left w:w="115" w:type="dxa"/>
          <w:bottom w:w="0" w:type="dxa"/>
          <w:right w:w="115" w:type="dxa"/>
        </w:tblCellMar>
        <w:tblLook w:val="00a0" w:noHBand="0" w:noVBand="0" w:firstColumn="1" w:lastRow="0" w:lastColumn="0" w:firstRow="1"/>
      </w:tblPr>
      <w:tblGrid>
        <w:gridCol w:w="565"/>
        <w:gridCol w:w="5755"/>
        <w:gridCol w:w="777"/>
        <w:gridCol w:w="1845"/>
        <w:gridCol w:w="989"/>
        <w:gridCol w:w="984"/>
      </w:tblGrid>
      <w:tr>
        <w:trPr/>
        <w:tc>
          <w:tcPr>
            <w:tcW w:w="109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РАЗДЕЛ. ФИНАНСОВЫЙ БИЗНЕС: ЧЕМ ОН МОЖЕТ ПОМОЧЬ СЕМЬЕ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5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7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>
        <w:trPr>
          <w:trHeight w:val="225" w:hRule="atLeast"/>
        </w:trPr>
        <w:tc>
          <w:tcPr>
            <w:tcW w:w="565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55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7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03.09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Вклады и кредиты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17.09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Процентная ставка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вкладам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Беседа, практические задания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01.10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Возврат средств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Страхование вкладов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22.10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Условия кредита и вклада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 сетью Интернет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.11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Расчет процентов по депозитам и кредитам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Принцип работы пластиковой карты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.12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Возможности работы по найму и собственного бизнеса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Организация собственного бизнеса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Разработка бизнес-плана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Стартовый капитал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.02  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Организации по поддержке малого бизнеса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.02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Валюта в современном мире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Валюты разных стран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.03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Валютный курс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Процентные ставки по валютным вкладам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.04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88" w:hRule="atLeast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Информация о валютных курсах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 сетью Интернет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31-3233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Расчёты с валютными курсами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Итоговая работа по курсу «Финансовая грамотность».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 калькулятором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.05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tbl>
      <w:tblPr>
        <w:tblpPr w:bottomFromText="0" w:horzAnchor="margin" w:leftFromText="180" w:rightFromText="180" w:tblpX="0" w:tblpXSpec="center" w:tblpY="550" w:topFromText="0" w:vertAnchor="text"/>
        <w:tblW w:w="99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1"/>
        <w:gridCol w:w="4711"/>
      </w:tblGrid>
      <w:tr>
        <w:trPr>
          <w:trHeight w:val="1685" w:hRule="atLeast"/>
        </w:trPr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протокол заседания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методического совета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Конзаводской СОШ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августа 202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г.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__________   О.В. Немтина</w:t>
            </w:r>
          </w:p>
        </w:tc>
        <w:tc>
          <w:tcPr>
            <w:tcW w:w="47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заместитель директора по 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__________О.П. Мартынова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______________ 202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г.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4c52a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LibreOffice/6.4.7.2$Linux_X86_64 LibreOffice_project/40$Build-2</Application>
  <Pages>7</Pages>
  <Words>1552</Words>
  <Characters>10891</Characters>
  <CharactersWithSpaces>12441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2021-09-08T10:26:00Z</dcterms:created>
  <dc:creator>Учитель</dc:creator>
  <dc:description/>
  <dc:language>ru-RU</dc:language>
  <cp:lastModifiedBy/>
  <dcterms:modified xsi:type="dcterms:W3CDTF">2025-09-08T16:07:30Z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