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lang w:eastAsia="ru-RU"/>
        </w:rPr>
      </w:pPr>
      <w:r>
        <w:rPr>
          <w:rFonts w:eastAsia="Calibri" w:cs="Times New Roman" w:ascii="Times New Roman" w:hAnsi="Times New Roman"/>
          <w:sz w:val="28"/>
          <w:lang w:eastAsia="ru-RU"/>
        </w:rPr>
        <w:t>Муниципальное бюджетное общеобразовательное учреждение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lang w:eastAsia="ru-RU"/>
        </w:rPr>
      </w:pPr>
      <w:r>
        <w:rPr>
          <w:rFonts w:eastAsia="Calibri" w:cs="Times New Roman" w:ascii="Times New Roman" w:hAnsi="Times New Roman"/>
          <w:sz w:val="28"/>
          <w:lang w:eastAsia="ru-RU"/>
        </w:rPr>
        <w:t>Конзаводская средняя общеобразовательная школа Зерноградского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lang w:eastAsia="ru-RU"/>
        </w:rPr>
      </w:pPr>
      <w:r>
        <w:rPr>
          <w:rFonts w:eastAsia="Calibri" w:cs="Times New Roman" w:ascii="Times New Roman" w:hAnsi="Times New Roman"/>
          <w:sz w:val="28"/>
          <w:lang w:eastAsia="ru-RU"/>
        </w:rPr>
        <w:t>имени Героя Российской Федерации Зозули А.С.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5245" w:hanging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  <w:t xml:space="preserve">      </w:t>
      </w:r>
    </w:p>
    <w:p>
      <w:pPr>
        <w:pStyle w:val="Normal"/>
        <w:spacing w:lineRule="auto" w:line="240" w:before="0" w:after="0"/>
        <w:ind w:left="5245" w:hanging="0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  <w:t xml:space="preserve">  </w:t>
      </w:r>
      <w:r>
        <w:rPr>
          <w:rFonts w:eastAsia="Calibri" w:cs="Times New Roman" w:ascii="Times New Roman" w:hAnsi="Times New Roman"/>
          <w:sz w:val="24"/>
          <w:lang w:eastAsia="ru-RU"/>
        </w:rPr>
        <w:t>«Утверждаю»</w:t>
      </w:r>
    </w:p>
    <w:p>
      <w:pPr>
        <w:pStyle w:val="Normal"/>
        <w:spacing w:lineRule="auto" w:line="240" w:before="0" w:after="0"/>
        <w:ind w:left="5245" w:hanging="0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 xml:space="preserve">Директор МБОУ Конзаводская СОШ                                                              </w:t>
      </w:r>
    </w:p>
    <w:p>
      <w:pPr>
        <w:pStyle w:val="Normal"/>
        <w:spacing w:lineRule="auto" w:line="240" w:before="0" w:after="0"/>
        <w:ind w:left="5245" w:hanging="0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 xml:space="preserve">Приказ от </w:t>
      </w:r>
      <w:r>
        <w:rPr>
          <w:rFonts w:eastAsia="Calibri" w:cs="Times New Roman" w:ascii="Times New Roman" w:hAnsi="Times New Roman"/>
          <w:sz w:val="24"/>
          <w:lang w:eastAsia="ru-RU"/>
        </w:rPr>
        <w:t>29</w:t>
      </w:r>
      <w:r>
        <w:rPr>
          <w:rFonts w:eastAsia="Calibri" w:cs="Times New Roman" w:ascii="Times New Roman" w:hAnsi="Times New Roman"/>
          <w:sz w:val="24"/>
          <w:lang w:eastAsia="ru-RU"/>
        </w:rPr>
        <w:t xml:space="preserve"> августа 2025 года № 29</w:t>
      </w:r>
      <w:r>
        <w:rPr>
          <w:rFonts w:eastAsia="Calibri" w:cs="Times New Roman" w:ascii="Times New Roman" w:hAnsi="Times New Roman"/>
          <w:sz w:val="24"/>
          <w:lang w:eastAsia="ru-RU"/>
        </w:rPr>
        <w:t>8</w:t>
      </w:r>
    </w:p>
    <w:p>
      <w:pPr>
        <w:pStyle w:val="Normal"/>
        <w:spacing w:lineRule="auto" w:line="240" w:before="0" w:after="0"/>
        <w:ind w:left="5245" w:hanging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  <w:t>________________ /О.П. Демьяненко/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40"/>
          <w:lang w:eastAsia="ru-RU"/>
        </w:rPr>
      </w:pPr>
      <w:r>
        <w:rPr>
          <w:rFonts w:eastAsia="Calibri" w:cs="Times New Roman" w:ascii="Times New Roman" w:hAnsi="Times New Roman"/>
          <w:sz w:val="4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40"/>
          <w:lang w:eastAsia="ru-RU"/>
        </w:rPr>
      </w:pPr>
      <w:r>
        <w:rPr>
          <w:rFonts w:eastAsia="Calibri" w:cs="Times New Roman" w:ascii="Times New Roman" w:hAnsi="Times New Roman"/>
          <w:sz w:val="4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40"/>
          <w:lang w:eastAsia="ru-RU"/>
        </w:rPr>
      </w:pPr>
      <w:r>
        <w:rPr>
          <w:rFonts w:eastAsia="Calibri" w:cs="Times New Roman" w:ascii="Times New Roman" w:hAnsi="Times New Roman"/>
          <w:sz w:val="40"/>
          <w:lang w:eastAsia="ru-RU"/>
        </w:rPr>
        <w:t>РАБОЧАЯ ПРОГРАММА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40"/>
          <w:lang w:eastAsia="ru-RU"/>
        </w:rPr>
      </w:pPr>
      <w:r>
        <w:rPr>
          <w:rFonts w:eastAsia="Calibri" w:cs="Times New Roman" w:ascii="Times New Roman" w:hAnsi="Times New Roman"/>
          <w:sz w:val="40"/>
          <w:lang w:eastAsia="ru-RU"/>
        </w:rPr>
        <w:t>по внеурочной деятельности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40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40"/>
          <w:lang w:eastAsia="ru-RU"/>
        </w:rPr>
        <w:t>«Основы функциональной, правовой и финансовой грамотности»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-567" w:hanging="0"/>
        <w:jc w:val="center"/>
        <w:rPr>
          <w:rFonts w:ascii="Times New Roman" w:hAnsi="Times New Roman" w:eastAsia="Calibri" w:cs="Times New Roman"/>
          <w:sz w:val="32"/>
          <w:lang w:eastAsia="ru-RU"/>
        </w:rPr>
      </w:pPr>
      <w:r>
        <w:rPr>
          <w:rFonts w:eastAsia="Calibri" w:cs="Times New Roman" w:ascii="Times New Roman" w:hAnsi="Times New Roman"/>
          <w:sz w:val="32"/>
          <w:lang w:eastAsia="ru-RU"/>
        </w:rPr>
        <w:t>основного общего образования 9б класс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32"/>
          <w:lang w:eastAsia="ru-RU"/>
        </w:rPr>
      </w:pPr>
      <w:r>
        <w:rPr>
          <w:rFonts w:eastAsia="Calibri" w:cs="Times New Roman" w:ascii="Times New Roman" w:hAnsi="Times New Roman"/>
          <w:sz w:val="32"/>
          <w:lang w:eastAsia="ru-RU"/>
        </w:rPr>
        <w:t>Количество часов по учебному плану:  9б класс - 3</w:t>
      </w:r>
      <w:r>
        <w:rPr>
          <w:rFonts w:eastAsia="Calibri" w:cs="Times New Roman" w:ascii="Times New Roman" w:hAnsi="Times New Roman"/>
          <w:sz w:val="32"/>
          <w:lang w:eastAsia="ru-RU"/>
        </w:rPr>
        <w:t>4</w:t>
      </w:r>
      <w:r>
        <w:rPr>
          <w:rFonts w:eastAsia="Calibri" w:cs="Times New Roman" w:ascii="Times New Roman" w:hAnsi="Times New Roman"/>
          <w:sz w:val="32"/>
          <w:lang w:eastAsia="ru-RU"/>
        </w:rPr>
        <w:t xml:space="preserve"> ч. (1 час в неделю)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32"/>
          <w:lang w:eastAsia="ru-RU"/>
        </w:rPr>
      </w:pPr>
      <w:r>
        <w:rPr>
          <w:rFonts w:eastAsia="Calibri" w:cs="Times New Roman" w:ascii="Times New Roman" w:hAnsi="Times New Roman"/>
          <w:sz w:val="32"/>
          <w:lang w:eastAsia="ru-RU"/>
        </w:rPr>
        <w:t xml:space="preserve">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32"/>
          <w:lang w:eastAsia="ru-RU"/>
        </w:rPr>
      </w:pPr>
      <w:r>
        <w:rPr>
          <w:rFonts w:eastAsia="Calibri" w:cs="Times New Roman" w:ascii="Times New Roman" w:hAnsi="Times New Roman"/>
          <w:sz w:val="32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32"/>
          <w:lang w:eastAsia="ru-RU"/>
        </w:rPr>
      </w:pPr>
      <w:r>
        <w:rPr>
          <w:rFonts w:eastAsia="Calibri" w:cs="Times New Roman" w:ascii="Times New Roman" w:hAnsi="Times New Roman"/>
          <w:sz w:val="32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32"/>
          <w:lang w:eastAsia="ru-RU"/>
        </w:rPr>
      </w:pPr>
      <w:r>
        <w:rPr>
          <w:rFonts w:eastAsia="Calibri" w:cs="Times New Roman" w:ascii="Times New Roman" w:hAnsi="Times New Roman"/>
          <w:sz w:val="32"/>
          <w:lang w:eastAsia="ru-RU"/>
        </w:rPr>
        <w:t xml:space="preserve">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32"/>
          <w:lang w:eastAsia="ru-RU"/>
        </w:rPr>
      </w:pPr>
      <w:r>
        <w:rPr>
          <w:rFonts w:eastAsia="Calibri" w:cs="Times New Roman" w:ascii="Times New Roman" w:hAnsi="Times New Roman"/>
          <w:sz w:val="32"/>
          <w:lang w:eastAsia="ru-RU"/>
        </w:rPr>
        <w:t>Учитель: Яврян Нарине Гариковна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32"/>
          <w:lang w:eastAsia="ru-RU"/>
        </w:rPr>
      </w:pPr>
      <w:r>
        <w:rPr>
          <w:rFonts w:eastAsia="Calibri" w:cs="Times New Roman" w:ascii="Times New Roman" w:hAnsi="Times New Roman"/>
          <w:sz w:val="32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lang w:eastAsia="ru-RU"/>
        </w:rPr>
      </w:pPr>
      <w:r>
        <w:rPr>
          <w:rFonts w:eastAsia="Calibri" w:cs="Times New Roman" w:ascii="Times New Roman" w:hAnsi="Times New Roman"/>
          <w:sz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lang w:eastAsia="ru-RU"/>
        </w:rPr>
      </w:pPr>
      <w:r>
        <w:rPr>
          <w:rFonts w:eastAsia="Calibri" w:cs="Times New Roman" w:ascii="Times New Roman" w:hAnsi="Times New Roman"/>
          <w:sz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lang w:eastAsia="ru-RU"/>
        </w:rPr>
      </w:pPr>
      <w:r>
        <w:rPr>
          <w:rFonts w:eastAsia="Calibri" w:cs="Times New Roman" w:ascii="Times New Roman" w:hAnsi="Times New Roman"/>
          <w:sz w:val="28"/>
          <w:lang w:eastAsia="ru-RU"/>
        </w:rPr>
        <w:t>2025 – 2026 учебный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lang w:eastAsia="ru-RU"/>
        </w:rPr>
      </w:pPr>
      <w:r>
        <w:rPr>
          <w:rFonts w:eastAsia="Calibri" w:cs="Times New Roman" w:ascii="Times New Roman" w:hAnsi="Times New Roman"/>
          <w:sz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. Пояснительная записка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Рабочая программа внеурочной деятельности «Основы финансовой грамотности» разработана в соответствии с требованиями Федерального государственного образовательного стандарта основного общего образования.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 Федерального закона от 29.12.2012 № 273-ФЗ «Об образовании в Российской Федерации»;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 Концепция Национальной программы повышения уровня финансовой грамотности населения РФ;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 Проект Минфина России «Содействие повышению уровня финансовой грамотности населения и развитию финансового образования в РФ».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Актуальность данной программы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продиктована развитием финансовой системы и появлением широкого спектра новых сложных финансовых продуктов и услуг, которые ставят перед гражданами задачи, к решению которых они не всегда готовы.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Финансовая грамотность - необходимое условие жизни в современном мире, поскольку финансовый рынок предоставляет значительно больше возможностей по управлению собственными средствами, чем 5-10 лет назад, и такие понятия как потребительский кредит, ипотека, банковские депозиты плотно вошли в нашу повседневную жизнь. Однако в настоящий момент времени ни нам, ни нашим детям явно недостаточно тех финансовых знаний, которыми мы располагаем. При этом нужно учитывать, что сегодняшние учащиеся — это завтрашние активные участники финансового рынка. Поэтому, если мы сегодня воспитаем наших детей финансово грамотными, значит, завтра мы получим добросовестных налогоплательщиков, ответственных заемщиков, грамотных вкладчиков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Новизной данной программы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является направленность курса на формирование финансовой грамотности учащихся на основе построения прямой связи между получаемыми знаниями и их практическим применением,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Отличительной особенностью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программы данного курса является то, что он базируется на 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системно-деятельностном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подходе к обучению, который обеспечивает активную учебно-познавательную позицию учащихся. У них формируются не только базовые знания в финансовой сфере, но также необходимые умения, компетенции, личные характеристики и установки.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Это определило 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цели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данного курса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>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формирование у учащихся готовности принимать ответственные и обоснованные решения в области управления личными финансами, способности реализовать эти решения;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создание комфортных условий, способствующих формированию коммуникативных компетенций;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формирование положительного мотивационного отношения к экономике через развитие познавательного интереса и осознание социальной необходимости.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освоить систему знаний о финансовых институтах современного общества и инструментах управления личными финансами;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овладеть умением получать и критически осмысливать экономическую информацию, анализировать, систематизировать полученные данные;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формировать опыт применения знаний о финансовых институтах для эффективной самореализации в сфере управления личными финансами;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формировать основы культуры и индивидуального стиля экономического поведения, ценностей деловой этики;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воспитывать ответственность за экономические решения.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Сроки реализации программы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– 1 год.</w:t>
      </w:r>
    </w:p>
    <w:p>
      <w:pPr>
        <w:pStyle w:val="Normal"/>
        <w:shd w:val="clear" w:color="auto" w:fill="FFFFFF"/>
        <w:spacing w:lineRule="auto" w:line="240" w:before="0" w:after="0"/>
        <w:ind w:firstLine="710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Объем часов, отпущенных на занятия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- 34 часа в год при 1 часе в неделю.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Формы реализации программы.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Для реализации поставленных целей предлагаются следующие формы организации учебного процесса: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Дискуссия, проектно-исследовательская деятельность учащихся, деловая игра, практическая работа, юридическая консультация, правовая консультация, познавательная беседа, интерактивная беседа, мини-проект, мини-исследование, круглый стол, ток-шоу, творческая работа, викторина, ролевая игра, сюжетно-ролевая игра, выступления учащихся с показом презентаций, игра-путешествие, правовая игра, дидактическая игра, решение практических и проблемных ситуаций, решение практических и экономических задач, игра с элементами тренинга, работа с документами, аналитическая работа, конференция, конкурсы.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Методы обучения.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На уровне основного общего образования создаются условия для освоения учащимися образовательных программ, делается акцент на умение самостоятельно и мотивированно организовывать свою познавательную деятельность (от постановки цели до получения и оценки результата) на развитие учебно-исследовательской деятельности учащихся.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В процессе обучения используются: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 Приемы актуализации субъективного опыта учащихся;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 Методы диалога и полилога;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 Приемы создания коллективного и индивидуального выбора;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4. Игровые методы;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5. Методы диагностики и самодиагностики;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6. Технологии критического мышления;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7. Информационно-коммуникационные технологии;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8. Технологии коллективного метода обучения.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Calibri" w:hAnsi="Calibri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Освоение нового содержания осуществляется с опорой на межпредметные связи с курсами экономики, истории, обществознания, географии, литературы, искусства.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en-US" w:eastAsia="ru-RU"/>
        </w:rPr>
        <w:t>II</w:t>
      </w: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. Планируемые результаты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Личностными результатами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 изучения курса «Финансовая грамотность»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развитие навыков сотрудничества с взрослыми и сверстниками в разных игровых и реальных экономических ситуациях; участие в принятии решений о семейном бюджете.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Метапредметными результатами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 изучения курса «Финансовая грамотность»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Познавательные: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освоение способов решения проблем творческого и поискового характера;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формирование умений представлять информацию в зависимости от поставленных задач в виде таблицы, схемы, графика, диаграммы, диаграммы связей (интеллект-карты);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овладение базовыми предметными и межпредметными понятиями.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Регулятивные: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понимание цели своих действий;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планирование действия с помощью учителя и самостоятельно;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проявление познавательной и творческой инициативы;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оценка правильности выполнения действий; самооценка и взаимооценка;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адекватное восприятие предложений товарищей, учителей, родителей.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Коммуникативные: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составление текстов в устной и письменной формах;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готовность слушать собеседника и вести диалог;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готовность признавать возможность существования различных точек зрения и права каждого иметь свою;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умение излагать своё мнение, аргументировать свою точку зрения и давать оценку событий;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Предметными результатами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 изучения курса «Финансовая грамотность»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понимание и правильное использование экономических терминов;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освоение приёмов работы с экономической информацией, её осмысление; проведение простых финансовых расчётов.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развитие способностей обучающихся делать необходимые выводы и давать обоснованные оценки экономических ситуаций; определение элементарных проблем в области семейных финансов и нахождение путей их решения;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Arial" w:hAnsi="Arial" w:eastAsia="Calibri" w:cs="Arial"/>
          <w:b/>
          <w:b/>
          <w:bCs/>
          <w:color w:val="000000"/>
          <w:sz w:val="21"/>
          <w:szCs w:val="21"/>
          <w:lang w:eastAsia="ru-RU"/>
        </w:rPr>
      </w:pPr>
      <w:r>
        <w:rPr>
          <w:rFonts w:eastAsia="Calibri" w:cs="Arial" w:ascii="Arial" w:hAnsi="Arial"/>
          <w:b/>
          <w:bCs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lang w:val="en-US" w:eastAsia="ru-RU"/>
        </w:rPr>
        <w:t>III</w:t>
      </w:r>
      <w:r>
        <w:rPr>
          <w:rFonts w:eastAsia="Calibri" w:cs="Times New Roman" w:ascii="Times New Roman" w:hAnsi="Times New Roman"/>
          <w:b/>
          <w:sz w:val="24"/>
          <w:lang w:eastAsia="ru-RU"/>
        </w:rPr>
        <w:t>. Содержание курса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>РАЗДЕЛ. ФИНАНСОВЫЙ БИЗНЕС: ЧЕМ ОН МОЖЕТ ПОМОЧЬ СЕМЬЕ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b/>
          <w:sz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lang w:eastAsia="ru-RU"/>
        </w:rPr>
        <w:t>Занятие. Банковские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>Банки принимают вклады и выдают кредиты. Процентная ставка по вкладам зависит от размера вклада и его срока. При прекращении деятельности банка вкладчикам гарантируется возврат средств. Процентная ставка по кредитам выше процентной ставки по вкладам.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>Основные понятия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>Банки. Вклады (депозиты). Процентная ставка. Страхование вкладов. Агентство по страхованию вкладов. Кредит. Залог.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>Компетенции: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lang w:eastAsia="ru-RU"/>
        </w:rPr>
        <w:t>Приводить примеры банковских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lang w:eastAsia="ru-RU"/>
        </w:rPr>
        <w:t>Описывать условия вкладов и кредитов.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lang w:eastAsia="ru-RU"/>
        </w:rPr>
        <w:t>Объяснять, от чего зависит размер выплат по вкладу.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lang w:eastAsia="ru-RU"/>
        </w:rPr>
        <w:t>Объяснять, почему и как страхуются вклады.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lang w:eastAsia="ru-RU"/>
        </w:rPr>
        <w:t>Находить информацию о вкладах и кредитах.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lang w:eastAsia="ru-RU"/>
        </w:rPr>
        <w:t>Объяснять причины и последствия решений о взятии кредита.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lang w:eastAsia="ru-RU"/>
        </w:rPr>
        <w:t>Объяснять условия кредита, приводить примеры.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lang w:eastAsia="ru-RU"/>
        </w:rPr>
        <w:t>Рассчитывать проценты по депозитам и кредитам.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lang w:eastAsia="ru-RU"/>
        </w:rPr>
        <w:t>Объяснять принцип работы пластиковой карты.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b/>
          <w:sz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lang w:eastAsia="ru-RU"/>
        </w:rPr>
        <w:t>Занятие. Собственный бизнес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>Организация бизнеса. Разработка бизнес-плана. Стартовый капитал. Организации по поддержке малого бизнеса.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>Основные понятия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>Бизнес. Малый бизнес. Бизнес-план. Кредит.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>Компетенции: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lang w:eastAsia="ru-RU"/>
        </w:rPr>
        <w:t>Сравнивать возможности работы по найму и собственного бизнеса.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lang w:eastAsia="ru-RU"/>
        </w:rPr>
        <w:t>Объяснять, как и почему государство и частные организации поддерживают малый бизнес.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lang w:eastAsia="ru-RU"/>
        </w:rPr>
        <w:t>Объяснять, что такое бизнес-план.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lang w:eastAsia="ru-RU"/>
        </w:rPr>
        <w:t>Приводить примеры бизнеса, которым занимаются подростки.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b/>
          <w:sz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lang w:eastAsia="ru-RU"/>
        </w:rPr>
        <w:t>Занятие. Валюта в современном мире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>Валюта — денежная единица страны. Разные страны имеют разные валюты. Цена одной валюты, выраженная в другой валюте, называется валютным курсом. Процентные ставки по валютным вкладам отличаются от ставок по вкладам в национальной валюте.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>Основные понятия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>Валюта. Валютный курс. Обменный пункт. Валютный вклад.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>Компетенции: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lang w:eastAsia="ru-RU"/>
        </w:rPr>
        <w:t>Приводить примеры валют разных стран.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lang w:eastAsia="ru-RU"/>
        </w:rPr>
        <w:t>Объяснять, что такое валютный курс.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lang w:eastAsia="ru-RU"/>
        </w:rPr>
        <w:t>Находить информацию о валютных курсах.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lang w:eastAsia="ru-RU"/>
        </w:rPr>
      </w:pPr>
      <w:r>
        <w:rPr>
          <w:rFonts w:eastAsia="Calibri" w:cs="Times New Roman" w:ascii="Times New Roman" w:hAnsi="Times New Roman"/>
          <w:sz w:val="24"/>
          <w:lang w:eastAsia="ru-RU"/>
        </w:rPr>
        <w:t xml:space="preserve">• </w:t>
      </w:r>
      <w:r>
        <w:rPr>
          <w:rFonts w:eastAsia="Calibri" w:cs="Times New Roman" w:ascii="Times New Roman" w:hAnsi="Times New Roman"/>
          <w:sz w:val="24"/>
          <w:lang w:eastAsia="ru-RU"/>
        </w:rPr>
        <w:t>Проводить расчёты с валютными курсами.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b/>
          <w:sz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lang w:eastAsia="ru-RU"/>
        </w:rPr>
        <w:t>Занятие. Итоговая работа по курсу «Финансовая грамотность».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Arial" w:hAnsi="Arial" w:eastAsia="Calibri" w:cs="Arial"/>
          <w:color w:val="000000"/>
          <w:sz w:val="21"/>
          <w:szCs w:val="21"/>
          <w:lang w:eastAsia="ru-RU"/>
        </w:rPr>
      </w:pPr>
      <w:r>
        <w:rPr>
          <w:rFonts w:eastAsia="Calibri" w:cs="Arial" w:ascii="Arial" w:hAnsi="Arial"/>
          <w:color w:val="000000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1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1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1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1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1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1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1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1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1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1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1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1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Calibri" w:cs="Times New Roman"/>
          <w:b/>
          <w:b/>
          <w:color w:val="000000"/>
          <w:sz w:val="24"/>
          <w:szCs w:val="21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Calibri" w:cs="Times New Roman"/>
          <w:b/>
          <w:b/>
          <w:color w:val="000000"/>
          <w:sz w:val="24"/>
          <w:szCs w:val="21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1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1"/>
          <w:lang w:val="en-US" w:eastAsia="ru-RU"/>
        </w:rPr>
        <w:t>IV</w:t>
      </w:r>
      <w:r>
        <w:rPr>
          <w:rFonts w:eastAsia="Calibri" w:cs="Times New Roman" w:ascii="Times New Roman" w:hAnsi="Times New Roman"/>
          <w:b/>
          <w:color w:val="000000"/>
          <w:sz w:val="24"/>
          <w:szCs w:val="21"/>
          <w:lang w:eastAsia="ru-RU"/>
        </w:rPr>
        <w:t>. КАЛЕНДАРНО-ТЕМАТИЧЕСКИЙ ПЛАН</w:t>
      </w:r>
    </w:p>
    <w:tbl>
      <w:tblPr>
        <w:tblW w:w="10916" w:type="dxa"/>
        <w:jc w:val="left"/>
        <w:tblInd w:w="-169" w:type="dxa"/>
        <w:tblCellMar>
          <w:top w:w="0" w:type="dxa"/>
          <w:left w:w="115" w:type="dxa"/>
          <w:bottom w:w="0" w:type="dxa"/>
          <w:right w:w="115" w:type="dxa"/>
        </w:tblCellMar>
        <w:tblLook w:val="00a0" w:noHBand="0" w:noVBand="0" w:firstColumn="1" w:lastRow="0" w:lastColumn="0" w:firstRow="1"/>
      </w:tblPr>
      <w:tblGrid>
        <w:gridCol w:w="565"/>
        <w:gridCol w:w="5755"/>
        <w:gridCol w:w="777"/>
        <w:gridCol w:w="1845"/>
        <w:gridCol w:w="989"/>
        <w:gridCol w:w="984"/>
      </w:tblGrid>
      <w:tr>
        <w:trPr/>
        <w:tc>
          <w:tcPr>
            <w:tcW w:w="1091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РАЗДЕЛ. ФИНАНСОВЫЙ БИЗНЕС: ЧЕМ ОН МОЖЕТ ПОМОЧЬ СЕМЬЕ</w:t>
            </w:r>
          </w:p>
        </w:tc>
      </w:tr>
      <w:tr>
        <w:trPr>
          <w:trHeight w:val="300" w:hRule="atLeast"/>
        </w:trPr>
        <w:tc>
          <w:tcPr>
            <w:tcW w:w="56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75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777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4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9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</w:tr>
      <w:tr>
        <w:trPr>
          <w:trHeight w:val="225" w:hRule="atLeast"/>
        </w:trPr>
        <w:tc>
          <w:tcPr>
            <w:tcW w:w="565" w:type="dxa"/>
            <w:vMerge w:val="continue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755" w:type="dxa"/>
            <w:vMerge w:val="continue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77" w:type="dxa"/>
            <w:vMerge w:val="continue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5" w:type="dxa"/>
            <w:vMerge w:val="continue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факт</w:t>
            </w:r>
          </w:p>
        </w:tc>
      </w:tr>
      <w:tr>
        <w:trPr/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5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Банковские услуги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02.09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5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Вклады и кредиты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16.09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5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Процентная ставка по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вкладам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Беседа, практические задания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30.09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Возврат средств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5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Страхование вкладов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21.10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5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Условия кредита и вклада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Работа с сетью Интернет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18.11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5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Расчет процентов по депозитам и кредитам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02.12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5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Принцип работы пластиковой карты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16.12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5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Возможности работы по найму и собственного бизнеса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30.12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Организация собственного бизнеса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5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Разработка бизнес-плана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27.01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Стартовый капитал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10.02  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5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Организации по поддержке малого бизнеса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17.02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Валюта в современном мире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5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Валюты разных стран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10.03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Валютный курс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5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Процентные ставки по валютным вкладам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07.04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88" w:hRule="atLeast"/>
        </w:trPr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Информация о валютных курсах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Работа с сетью Интернет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21.04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31-3233-34</w:t>
            </w:r>
          </w:p>
        </w:tc>
        <w:tc>
          <w:tcPr>
            <w:tcW w:w="5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Расчёты с валютными курсами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Итоговая работа по курсу «Финансовая грамотность».</w:t>
            </w:r>
          </w:p>
        </w:tc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Работа с калькулятором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05.05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12.05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19.05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Arial" w:hAnsi="Arial" w:eastAsia="Calibri" w:cs="Arial"/>
          <w:color w:val="000000"/>
          <w:sz w:val="21"/>
          <w:szCs w:val="21"/>
          <w:lang w:eastAsia="ru-RU"/>
        </w:rPr>
      </w:pPr>
      <w:r>
        <w:rPr>
          <w:rFonts w:eastAsia="Calibri" w:cs="Arial" w:ascii="Arial" w:hAnsi="Arial"/>
          <w:color w:val="000000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Arial" w:hAnsi="Arial" w:eastAsia="Calibri" w:cs="Arial"/>
          <w:color w:val="000000"/>
          <w:sz w:val="21"/>
          <w:szCs w:val="21"/>
          <w:lang w:eastAsia="ru-RU"/>
        </w:rPr>
      </w:pPr>
      <w:r>
        <w:rPr>
          <w:rFonts w:eastAsia="Calibri" w:cs="Arial" w:ascii="Arial" w:hAnsi="Arial"/>
          <w:color w:val="000000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Arial" w:hAnsi="Arial" w:eastAsia="Calibri" w:cs="Arial"/>
          <w:color w:val="000000"/>
          <w:sz w:val="21"/>
          <w:szCs w:val="21"/>
          <w:lang w:eastAsia="ru-RU"/>
        </w:rPr>
      </w:pPr>
      <w:r>
        <w:rPr>
          <w:rFonts w:eastAsia="Calibri" w:cs="Arial" w:ascii="Arial" w:hAnsi="Arial"/>
          <w:color w:val="000000"/>
          <w:sz w:val="21"/>
          <w:szCs w:val="21"/>
          <w:lang w:eastAsia="ru-RU"/>
        </w:rPr>
      </w:r>
    </w:p>
    <w:tbl>
      <w:tblPr>
        <w:tblpPr w:bottomFromText="0" w:horzAnchor="margin" w:leftFromText="180" w:rightFromText="180" w:tblpX="0" w:tblpXSpec="center" w:tblpY="550" w:topFromText="0" w:vertAnchor="text"/>
        <w:tblW w:w="992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11"/>
        <w:gridCol w:w="4711"/>
      </w:tblGrid>
      <w:tr>
        <w:trPr>
          <w:trHeight w:val="1685" w:hRule="atLeast"/>
        </w:trPr>
        <w:tc>
          <w:tcPr>
            <w:tcW w:w="521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Согласовано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протокол заседания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методического совета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МБОУ Конзаводской СОШ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от 30 августа 2025 г. № 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__________   О.В. Немтина</w:t>
            </w:r>
          </w:p>
        </w:tc>
        <w:tc>
          <w:tcPr>
            <w:tcW w:w="471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Согласовано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заместитель директора по ВР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__________О.П. Мартынова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______________ 2025г. </w:t>
            </w:r>
          </w:p>
        </w:tc>
      </w:tr>
    </w:tbl>
    <w:p>
      <w:pPr>
        <w:pStyle w:val="Normal"/>
        <w:shd w:val="clear" w:color="auto" w:fill="FFFFFF"/>
        <w:spacing w:lineRule="auto" w:line="240" w:before="0" w:after="150"/>
        <w:jc w:val="center"/>
        <w:rPr>
          <w:rFonts w:ascii="Arial" w:hAnsi="Arial" w:eastAsia="Calibri" w:cs="Arial"/>
          <w:color w:val="000000"/>
          <w:sz w:val="21"/>
          <w:szCs w:val="21"/>
          <w:lang w:eastAsia="ru-RU"/>
        </w:rPr>
      </w:pPr>
      <w:r>
        <w:rPr>
          <w:rFonts w:eastAsia="Calibri" w:cs="Arial" w:ascii="Arial" w:hAnsi="Arial"/>
          <w:color w:val="000000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rFonts w:ascii="Arial" w:hAnsi="Arial" w:eastAsia="Calibri" w:cs="Arial"/>
          <w:color w:val="000000"/>
          <w:sz w:val="21"/>
          <w:szCs w:val="21"/>
          <w:lang w:eastAsia="ru-RU"/>
        </w:rPr>
      </w:pPr>
      <w:r>
        <w:rPr>
          <w:rFonts w:eastAsia="Calibri" w:cs="Arial" w:ascii="Arial" w:hAnsi="Arial"/>
          <w:color w:val="000000"/>
          <w:sz w:val="21"/>
          <w:szCs w:val="21"/>
          <w:lang w:eastAsia="ru-RU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Noto Sans Devanagari"/>
    </w:rPr>
  </w:style>
  <w:style w:type="paragraph" w:styleId="NoSpacing">
    <w:name w:val="No Spacing"/>
    <w:uiPriority w:val="1"/>
    <w:qFormat/>
    <w:rsid w:val="004c52a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LibreOffice/6.4.7.2$Linux_X86_64 LibreOffice_project/40$Build-2</Application>
  <Pages>7</Pages>
  <Words>1553</Words>
  <Characters>10899</Characters>
  <CharactersWithSpaces>12449</CharactersWithSpaces>
  <Paragraphs>252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2021-09-08T10:26:00Z</dcterms:created>
  <dc:creator>Учитель</dc:creator>
  <dc:description/>
  <dc:language>ru-RU</dc:language>
  <cp:lastModifiedBy/>
  <dcterms:modified xsi:type="dcterms:W3CDTF">2025-09-08T15:57:51Z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