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  <w:r>
        <w:drawing>
          <wp:inline>
            <wp:extent cx="1913890" cy="73342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8914" l="2730" r="5867" t="14010"/>
                    <a:stretch/>
                  </pic:blipFill>
                  <pic:spPr>
                    <a:xfrm flipH="false" flipV="false" rot="0">
                      <a:ext cx="1913890" cy="733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Федеральные и</w:t>
      </w:r>
      <w:r>
        <w:rPr>
          <w:rFonts w:ascii="Times New Roman" w:hAnsi="Times New Roman"/>
          <w:b w:val="1"/>
          <w:sz w:val="28"/>
        </w:rPr>
        <w:t>нформационные ресурсы</w:t>
      </w:r>
      <w:r>
        <w:rPr>
          <w:rFonts w:ascii="Times New Roman" w:hAnsi="Times New Roman"/>
          <w:b w:val="1"/>
          <w:sz w:val="28"/>
        </w:rPr>
        <w:t xml:space="preserve"> для подготовки к </w:t>
      </w:r>
      <w:r>
        <w:rPr>
          <w:rFonts w:ascii="Times New Roman" w:hAnsi="Times New Roman"/>
          <w:b w:val="1"/>
          <w:sz w:val="28"/>
        </w:rPr>
        <w:t>ГИА-</w:t>
      </w:r>
      <w:r>
        <w:rPr>
          <w:rFonts w:ascii="Times New Roman" w:hAnsi="Times New Roman"/>
          <w:b w:val="1"/>
          <w:sz w:val="28"/>
        </w:rPr>
        <w:t>11</w:t>
      </w:r>
    </w:p>
    <w:tbl>
      <w:tblPr>
        <w:tblStyle w:val="Style_1"/>
        <w:tblLayout w:type="fixed"/>
      </w:tblPr>
      <w:tblGrid>
        <w:gridCol w:w="5665"/>
        <w:gridCol w:w="4105"/>
      </w:tblGrid>
      <w:tr>
        <w:tc>
          <w:tcPr>
            <w:tcW w:type="dxa" w:w="5665"/>
          </w:tcPr>
          <w:p w14:paraId="03000000">
            <w:pPr>
              <w:ind/>
              <w:contextualSpacing w:val="1"/>
              <w:jc w:val="both"/>
              <w:rPr>
                <w:rFonts w:ascii="Times New Roman" w:hAnsi="Times New Roman"/>
                <w:b w:val="1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Наименование ресурса</w:t>
            </w:r>
          </w:p>
        </w:tc>
        <w:tc>
          <w:tcPr>
            <w:tcW w:type="dxa" w:w="4105"/>
          </w:tcPr>
          <w:p w14:paraId="04000000">
            <w:pPr>
              <w:ind/>
              <w:contextualSpacing w:val="1"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Ссылка</w:t>
            </w:r>
          </w:p>
        </w:tc>
      </w:tr>
      <w:tr>
        <w:tc>
          <w:tcPr>
            <w:tcW w:type="dxa" w:w="5665"/>
          </w:tcPr>
          <w:p w14:paraId="05000000">
            <w:pPr>
              <w:ind/>
              <w:contextualSpacing w:val="1"/>
              <w:jc w:val="both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1. «Навигатор ГИА»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–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 xml:space="preserve">Демоверсии, спецификации и кодификаторы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ЕГЭ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»;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«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 xml:space="preserve">Материалы для подготовки к итоговому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сочинению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»;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«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 xml:space="preserve">Методические рекомендации для выпускников по самостоятельной подготовке к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Э»;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«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 xml:space="preserve">Открытый банк заданий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Э»</w:t>
            </w:r>
          </w:p>
        </w:tc>
        <w:tc>
          <w:tcPr>
            <w:tcW w:type="dxa" w:w="4105"/>
          </w:tcPr>
          <w:p w14:paraId="06000000">
            <w:pPr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"http://nav-gia.obrnadzor.gov.ru/"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http://nav-gia.obrnadzor.gov.ru/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07000000">
            <w:pPr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t>https://fipi.ru/navigator-podgotovki/navigator-ege</w:t>
            </w:r>
          </w:p>
        </w:tc>
      </w:tr>
      <w:tr>
        <w:tc>
          <w:tcPr>
            <w:tcW w:type="dxa" w:w="5665"/>
          </w:tcPr>
          <w:p w14:paraId="08000000">
            <w:pPr>
              <w:ind/>
              <w:contextualSpacing w:val="1"/>
              <w:jc w:val="both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. «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Навигат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ор самостоятельной подготовки к Е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ГЭ»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, где размещены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методические рекомендации для обучающихся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11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классов, с советами разработчиков КИМ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ЕГЭ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и полезной информацией для организации индивидуальной подготовки к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ЕГЭ</w:t>
            </w:r>
          </w:p>
        </w:tc>
        <w:tc>
          <w:tcPr>
            <w:tcW w:type="dxa" w:w="4105"/>
          </w:tcPr>
          <w:p w14:paraId="09000000">
            <w:pPr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t>https://fipi.ru/navigator-podgotovki/navigator-ege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>
        <w:tc>
          <w:tcPr>
            <w:tcW w:type="dxa" w:w="5665"/>
          </w:tcPr>
          <w:p w14:paraId="0A000000">
            <w:pPr>
              <w:ind/>
              <w:contextualSpacing w:val="1"/>
              <w:jc w:val="both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3. «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Демоверсии, спецификации,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 xml:space="preserve">кодификаторы»,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где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представлены документы, определяющие структуру и содержание КИМ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ЕГЭ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2021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/22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ЕГЭ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по учебным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предметам;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демонстрационные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варианты КИМ для проведения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ЕГЭ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по учебным  предметам </w:t>
            </w:r>
          </w:p>
        </w:tc>
        <w:tc>
          <w:tcPr>
            <w:tcW w:type="dxa" w:w="4105"/>
          </w:tcPr>
          <w:p w14:paraId="0B000000">
            <w:pPr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"https://fipi.ru/ege/demoversii-specifikacii-kodifikatory"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https://fipi.ru/ege/demoversii-specifikacii-kodifikatory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6"/>
              </w:rPr>
              <w:t xml:space="preserve"> </w:t>
            </w:r>
          </w:p>
        </w:tc>
      </w:tr>
      <w:tr>
        <w:tc>
          <w:tcPr>
            <w:tcW w:type="dxa" w:w="5665"/>
          </w:tcPr>
          <w:p w14:paraId="0C000000">
            <w:pPr>
              <w:ind/>
              <w:contextualSpacing w:val="1"/>
              <w:jc w:val="both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4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. 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Материалы для подготовки к ГВЭ-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>11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 xml:space="preserve">,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где размещены</w:t>
            </w: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материалы для подготовки к ГВЭ по всем предметам, а также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тренировочные сборники для подготовки к государственной итоговой аттестации обучающихся с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type="dxa" w:w="4105"/>
            <w:vAlign w:val="center"/>
          </w:tcPr>
          <w:p w14:paraId="0D000000">
            <w:pPr>
              <w:ind/>
              <w:contextualSpacing w:val="1"/>
              <w:jc w:val="both"/>
              <w:rPr>
                <w:rStyle w:val="Style_2_ch"/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"https://fipi.ru/gve/gve-11"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https://fipi.ru/gve/gve-11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0E000000">
            <w:pPr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</w:p>
          <w:p w14:paraId="0F000000">
            <w:pPr>
              <w:ind/>
              <w:contextualSpacing w:val="1"/>
              <w:jc w:val="both"/>
              <w:rPr>
                <w:rStyle w:val="Style_2_ch"/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"https://fipi.ru/gve/trenirovochnyye-sborniki-dlya-obuchayushchikhsya-s-ovz-gia-11"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https://fipi.ru/gve/trenirovochnyye-sborniki-dlya-obuchayushchikhsya-s-ovz-gia-11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10000000">
            <w:pPr>
              <w:ind/>
              <w:contextualSpacing w:val="1"/>
              <w:jc w:val="both"/>
              <w:rPr>
                <w:rStyle w:val="Style_2_ch"/>
                <w:rFonts w:ascii="Times New Roman" w:hAnsi="Times New Roman"/>
                <w:sz w:val="26"/>
              </w:rPr>
            </w:pPr>
          </w:p>
          <w:p w14:paraId="11000000">
            <w:pPr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"https://fipi.ru/gve/trenirovochnyye-sborniki-dlya-obuchayushchikhsya-s-ovz-gia-11-nezryachikh"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https://fipi.ru/gve/trenirovochnyye-sborniki-dlya-obuchayushchikhsya-s-ovz-gia-11-nezryachikh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>
        <w:tc>
          <w:tcPr>
            <w:tcW w:type="dxa" w:w="5665"/>
          </w:tcPr>
          <w:p w14:paraId="12000000">
            <w:pPr>
              <w:ind/>
              <w:contextualSpacing w:val="1"/>
              <w:jc w:val="both"/>
              <w:rPr>
                <w:rFonts w:ascii="Times New Roman" w:hAnsi="Times New Roman"/>
                <w:b w:val="1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6"/>
              </w:rPr>
              <w:t xml:space="preserve">5. Онлайн-консультации для выпускников и педагогов, 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упными ресурсами для подготовки</w:t>
            </w:r>
          </w:p>
        </w:tc>
        <w:tc>
          <w:tcPr>
            <w:tcW w:type="dxa" w:w="4105"/>
          </w:tcPr>
          <w:p w14:paraId="13000000">
            <w:pPr>
              <w:ind/>
              <w:contextualSpacing w:val="1"/>
              <w:jc w:val="both"/>
              <w:rPr>
                <w:rStyle w:val="Style_2_ch"/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"https://vk.com/rosobrnadzor"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https://vk.com/rosobrnadzor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6"/>
              </w:rPr>
              <w:t xml:space="preserve"> </w:t>
            </w:r>
          </w:p>
          <w:p w14:paraId="14000000">
            <w:pPr>
              <w:ind/>
              <w:contextualSpacing w:val="1"/>
              <w:jc w:val="both"/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  <w:highlight w:val="white"/>
              </w:rPr>
              <w:t>(в разделе видеозаписи)</w:t>
            </w:r>
          </w:p>
          <w:p w14:paraId="15000000">
            <w:pPr>
              <w:ind/>
              <w:contextualSpacing w:val="1"/>
              <w:jc w:val="both"/>
              <w:rPr>
                <w:rStyle w:val="Style_2_ch"/>
                <w:rFonts w:ascii="Times New Roman" w:hAnsi="Times New Roman"/>
                <w:sz w:val="26"/>
              </w:rPr>
            </w:pPr>
          </w:p>
          <w:p w14:paraId="16000000">
            <w:pPr>
              <w:ind/>
              <w:contextualSpacing w:val="1"/>
              <w:jc w:val="both"/>
              <w:rPr>
                <w:rStyle w:val="Style_2_ch"/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14:paraId="17000000">
      <w:pPr>
        <w:ind/>
        <w:jc w:val="center"/>
        <w:rPr>
          <w:rFonts w:ascii="Times New Roman" w:hAnsi="Times New Roman"/>
          <w:sz w:val="4"/>
        </w:rPr>
      </w:pPr>
    </w:p>
    <w:sectPr>
      <w:pgSz w:h="16838" w:orient="portrait" w:w="11906"/>
      <w:pgMar w:bottom="28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563C1"/>
      <w:u w:val="single"/>
    </w:rPr>
  </w:style>
  <w:style w:styleId="Style_2_ch" w:type="character">
    <w:name w:val="Hyperlink"/>
    <w:basedOn w:val="Style_12_ch"/>
    <w:link w:val="Style_2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2021-10-01T10:28:53Z</dcterms:modified>
</cp:coreProperties>
</file>