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ОУДб.09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общеобразовательной учебной дисциплины  ОУДб.09 География предназначена для изучения географии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учебной дисциплины ОУДб.09 Географиянаправлено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ОУДб.09 География</w:t>
      </w:r>
      <w:r w:rsidRPr="00D3327E">
        <w:rPr>
          <w:rFonts w:eastAsia="Times New Roman"/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ориентироваться в различных источниках географическойинформации,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ОУДб.09 Географияв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час.; внеаудиторная самостоятельная работа студентов –18 часов.</w:t>
      </w:r>
    </w:p>
    <w:p w:rsidR="00A37B42" w:rsidRDefault="00A37B42" w:rsidP="00442B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2C5E" w:rsidRDefault="005F2C5E" w:rsidP="005F2C5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5F2C5E" w:rsidRPr="00D3327E" w:rsidRDefault="005F2C5E" w:rsidP="00442B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5F2C5E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42B0B"/>
    <w:rsid w:val="004C4C6C"/>
    <w:rsid w:val="00570BFD"/>
    <w:rsid w:val="00587DB0"/>
    <w:rsid w:val="005F2C5E"/>
    <w:rsid w:val="00607FD1"/>
    <w:rsid w:val="006A5303"/>
    <w:rsid w:val="007157C2"/>
    <w:rsid w:val="00737658"/>
    <w:rsid w:val="007B5A58"/>
    <w:rsid w:val="007F618F"/>
    <w:rsid w:val="009A1D3C"/>
    <w:rsid w:val="00A37B42"/>
    <w:rsid w:val="00A37D89"/>
    <w:rsid w:val="00B523F4"/>
    <w:rsid w:val="00BB7802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2019-08-18T16:49:00Z</dcterms:modified>
</cp:coreProperties>
</file>