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</w:rPr>
        <w:drawing>
          <wp:inline distB="0" distT="0" distL="0" distR="0">
            <wp:extent cx="2990215" cy="111442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sz w:val="23"/>
          <w:szCs w:val="23"/>
          <w:rtl w:val="0"/>
        </w:rPr>
        <w:t xml:space="preserve">«Утверждаю»                                                                                           «Согласовано»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23"/>
          <w:szCs w:val="23"/>
          <w:rtl w:val="0"/>
        </w:rPr>
        <w:t xml:space="preserve">Директор Союза ОКЗМ «КАФ»                                                              Директор МБУК КИКМ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sz w:val="23"/>
          <w:szCs w:val="23"/>
          <w:rtl w:val="0"/>
        </w:rPr>
        <w:t xml:space="preserve">О.Т. Пугачева________________                                                            Л.А. Лаврова_____________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«___»_______________2026г.                                                            «____»_____________2026г.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050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050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о Конкурсе изобразительного искусства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050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«Камышинский арбуз»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050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050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050"/>
        </w:tabs>
        <w:jc w:val="both"/>
        <w:rPr/>
      </w:pPr>
      <w:r w:rsidDel="00000000" w:rsidR="00000000" w:rsidRPr="00000000">
        <w:rPr>
          <w:rtl w:val="0"/>
        </w:rPr>
        <w:t xml:space="preserve">1.1. Настоящее Положение регламентирует порядок организации и проведения (сроки, условия) конкурса изобразительного искусства «Камышинский арбуз» (далее – Конкурс).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1.2. Настоящее Положение представляется для ознакомления всем заинтересованным лицам, претендующим на участие в Конкурсе, публикуется в открытом доступе всети Интернет, в городских СМИ и др. </w:t>
      </w:r>
    </w:p>
    <w:p w:rsidR="00000000" w:rsidDel="00000000" w:rsidP="00000000" w:rsidRDefault="00000000" w:rsidRPr="00000000" w14:paraId="00000010">
      <w:pPr>
        <w:tabs>
          <w:tab w:val="left" w:leader="none" w:pos="540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1.3. Цель Конкурса: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-  развитие профессионального и самодеятельного художественного творчества;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-  поддержка молодых художников;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-  привлечение общественного внимания к культурным ценностям родного края;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-  отбор художественных произведений для Камышинского Музея Арбуза.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1.4. Предметом Конкурса (Конкурсной работой) является: предмет живописи, графики, оформленный в формате не менее  420х594 мм (А2), в раме (со стеклом или без стекла), тематикой которого являются: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камышинские арбузы (в среде) - реалистичные сюжеты;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классические сюжеты — натюрморты с арбузом и проч.;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арбузы и бахчевые культуры, их выращивание в камышинском районе;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приготовление блюд из арбузов (бытовой жанр);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история камышинского арбузного края;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камышане и арбузы;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Камышинский арбузный фестиваль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1.5.  Организаторами Конкурса являются: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1.5.1. Союз организаторов культурно-зрелищного мероприятия «Камышинский Арбузный Фестиваль», который  обеспечивает финансирование вознаграждений победителям  Конкурса;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1.5.2. Муниципальное бюджетное учреждение культуры «Камышинский историко-краеведческий музей» - Художественная галерея, которое осуществляет следующие функции по координации проведения Конкурса:</w:t>
      </w:r>
    </w:p>
    <w:p w:rsidR="00000000" w:rsidDel="00000000" w:rsidP="00000000" w:rsidRDefault="00000000" w:rsidRPr="00000000" w14:paraId="00000020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 xml:space="preserve">- информирование потенциально заинтересованных лиц о Конкурсе по всей территории РФ через Союз Художников России, творческий Союз художников России, музеи, художественные галереи, СМИ, социальные сети;</w:t>
      </w:r>
    </w:p>
    <w:p w:rsidR="00000000" w:rsidDel="00000000" w:rsidP="00000000" w:rsidRDefault="00000000" w:rsidRPr="00000000" w14:paraId="00000021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 xml:space="preserve">- прием Конкурсных работ, подготовка информации о работах и об участниках Конкурса, указанной в п.2.1.1. настоящего Положения;</w:t>
      </w:r>
    </w:p>
    <w:p w:rsidR="00000000" w:rsidDel="00000000" w:rsidP="00000000" w:rsidRDefault="00000000" w:rsidRPr="00000000" w14:paraId="00000022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 xml:space="preserve">- ответственное хранение Конкурсных работ, принятых от участников Конкурса;</w:t>
      </w:r>
    </w:p>
    <w:p w:rsidR="00000000" w:rsidDel="00000000" w:rsidP="00000000" w:rsidRDefault="00000000" w:rsidRPr="00000000" w14:paraId="00000023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 xml:space="preserve">- обеспечение работы жюри;</w:t>
      </w:r>
    </w:p>
    <w:p w:rsidR="00000000" w:rsidDel="00000000" w:rsidP="00000000" w:rsidRDefault="00000000" w:rsidRPr="00000000" w14:paraId="00000024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 xml:space="preserve">- организация церемонии открытия и проведения выставки Конкурсных работ.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1.6. Принять участие в Конкурсе вправе:  все желающие в возрасте от 16 лет и старше.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1.7. Конкурс проводится в двух категориях: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«Конкурсная работа профессионалов» - профессиональных мастеров, признанных авторов, имеющих специальное образование, входящие в СХР или ТСХР, историю персональных выставок и т.п.;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«Конкурсная работа любителей» - авторов, не обладающих профессиональной подготовкой в области изобразительного искусства, учащихся художественных школ, школ искусств и проч.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Категорию определяет автор.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1.8. Конкурс проводится на территории  Художественной галереи по адресу: Волгоградская область, город Камышин, ул. Набережная, д.66.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Условия Конкурса.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2.1. Конкурс проводится в четыре этапа: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2.1.1.Первый этап Конкурса</w:t>
      </w:r>
      <w:r w:rsidDel="00000000" w:rsidR="00000000" w:rsidRPr="00000000">
        <w:rPr>
          <w:rtl w:val="0"/>
        </w:rPr>
        <w:t xml:space="preserve"> проводится с «01» апреля 2026 г. по «07» августа 2026 г. включительно - Организатор Конкурса, указанный в п. 1.5.2. настоящего положения, осуществляет сбор (приём) Конкурсных работ, выполненных за последние 5 лет, с авторской подписью на лицевой или тыльной стороне, Согласий на обработку персональных данных. </w:t>
      </w:r>
      <w:r w:rsidDel="00000000" w:rsidR="00000000" w:rsidRPr="00000000">
        <w:rPr>
          <w:u w:val="single"/>
          <w:rtl w:val="0"/>
        </w:rPr>
        <w:t xml:space="preserve">Сбор работ осуществляется несколькими способами: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Автор приносит работу лично. Работу принимаем по адресу: г. Камышин, ул. Набережная, д.66. Принимает работы научный сотрудник Нара Овсепян 8(84457) 4-35-18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Автор направляет работу посредством АО “Почта России”. Работу принимаем по адресу: </w:t>
      </w:r>
      <w:r w:rsidDel="00000000" w:rsidR="00000000" w:rsidRPr="00000000">
        <w:rPr>
          <w:rtl w:val="0"/>
        </w:rPr>
        <w:t xml:space="preserve">403881 Волгоградская область, г.Камышин, ул. Нагорная, 2а. </w:t>
      </w:r>
      <w:r w:rsidDel="00000000" w:rsidR="00000000" w:rsidRPr="00000000">
        <w:rPr>
          <w:rtl w:val="0"/>
        </w:rPr>
        <w:t xml:space="preserve">Союз организаторов КЗМ " КАФ"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Автор направляет работу посредством службы доставки (CDEK, Деловые линии…). Работы принимаются по предварительной договоренности с Организаторами конкурса  +7906</w:t>
      </w:r>
      <w:r w:rsidDel="00000000" w:rsidR="00000000" w:rsidRPr="00000000">
        <w:rPr>
          <w:rtl w:val="0"/>
        </w:rPr>
        <w:t xml:space="preserve">4086571 - Ольга Пугачева.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       Каждый участник Конкурса вместе с Конкурсной работой предоставляет вышеуказанному организатору Конкурса информацию о себе (ФИО, адрес проживания, контактный телефон, категорию Конкурса), а также информацию об истории создания  Конкурсной работы, письменное описание её сюжета в виде краткого тематического текста (1-3 предложения) для этикетажа и альбома.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Информацию принимаем: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5362575</wp:posOffset>
            </wp:positionH>
            <wp:positionV relativeFrom="paragraph">
              <wp:posOffset>38100</wp:posOffset>
            </wp:positionV>
            <wp:extent cx="583218" cy="583218"/>
            <wp:effectExtent b="0" l="0" r="0" t="0"/>
            <wp:wrapSquare wrapText="bothSides" distB="0" distT="0" distL="114300" distR="114300"/>
            <wp:docPr descr="photo_5192809293198068814_x" id="3" name="image1.jpg"/>
            <a:graphic>
              <a:graphicData uri="http://schemas.openxmlformats.org/drawingml/2006/picture">
                <pic:pic>
                  <pic:nvPicPr>
                    <pic:cNvPr descr="photo_5192809293198068814_x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218" cy="5832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-   в электронном виде по ссылке, qr-коду: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https://forms.gle/nfyQP9BMZMAAnFUr7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 - в текстовом формате вместе с работой.</w:t>
      </w:r>
    </w:p>
    <w:p w:rsidR="00000000" w:rsidDel="00000000" w:rsidP="00000000" w:rsidRDefault="00000000" w:rsidRPr="00000000" w14:paraId="00000039">
      <w:pPr>
        <w:jc w:val="center"/>
        <w:rPr/>
      </w:pPr>
      <w:bookmarkStart w:colFirst="0" w:colLast="0" w:name="_heading=h.o7sprup7klq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Конкурсные работы, поступившие после окончания срока приёма работ, к Конкурсу не допускаются. 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2.1.2. Второй этап Конкурса</w:t>
      </w:r>
      <w:r w:rsidDel="00000000" w:rsidR="00000000" w:rsidRPr="00000000">
        <w:rPr>
          <w:rtl w:val="0"/>
        </w:rPr>
        <w:t xml:space="preserve"> (отборочный) проводится с «08» августа 2026 г. по «10» августа 2026 г. включительно - организатор Конкурса, указанный в п. 1.5.2. настоящего Положения, осуществляет отбор Конкурсных работ на их соответствие правилам оформления, указанным в п. 1.7. настоящего Положения. 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        В этот период Организаторы Конкурса формируют Список участников Конкурса по итогам второго отборочного этапа Конкурса для его дальнейшего предоставления жюри в третьем этапе Конкурса.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2.1.3.Третий этап Конкурса</w:t>
      </w:r>
      <w:r w:rsidDel="00000000" w:rsidR="00000000" w:rsidRPr="00000000">
        <w:rPr>
          <w:rtl w:val="0"/>
        </w:rPr>
        <w:t xml:space="preserve"> - работа жюри по оценке Конкурсных работ, выбор победителей осуществляется с «11» августа 2026 г. по «13» августа 2026 г. включительно. 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        Состав жюри, во главе с Председателем, утверждается Организаторами Конкурса и формируется из приглашенных специалистов по изобразительному искусству из г. Камышина и из других городов РФ, членов Союза художников России, членов Творческого Союза художников России. В состав жюри не могут входить участники Конкурса.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        Жюри определяет победителей Конкурса в соответствии со следующими критериями: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- раскрытие темы Конкурса, соответствие этой теме;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- художественное мастерство;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- композиционное решение автора;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- качество Конкурсной работы, ее эстетический вид.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        Каждый член Жюри индивидуально оценивает конкурсные работы и несёт ответственность за объективность и непредвзятость оценки.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        В этом этапе Конкурса жюри определяет победителей Конкурса и присуждает</w:t>
      </w:r>
    </w:p>
    <w:p w:rsidR="00000000" w:rsidDel="00000000" w:rsidP="00000000" w:rsidRDefault="00000000" w:rsidRPr="00000000" w14:paraId="0000004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Три призовых места в номинации «Конкурсная работа профессионалов»: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1 место с денежным вознаграждением в размере 50 000 (пятьдесят тысяч) рублей 00 коп.;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2 место с денежным вознаграждением в размере 30 000 (тридцать тысяч) рублей 00 коп.;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3 место с денежным вознаграждением в размере 20.000 (двадцать тысяч) рублей 00 коп.;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bCs w:val="1"/>
          <w:rtl w:val="0"/>
        </w:rPr>
        <w:t xml:space="preserve">         Три призовых места в номинации «Конкурсная работа любителей»: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1 место с денежным вознаграждением в размере 10 000 (десять тысяч) рублей 00 коп.;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2 место с денежным вознаграждением в размере 7 000 (семь тысяч) рублей 00 коп.;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3 место с денежным вознаграждением в размере 5 000 (пять тысяч) рублей 00 коп. 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2.1.4.На четвертом этапе Конкурса,</w:t>
      </w:r>
      <w:r w:rsidDel="00000000" w:rsidR="00000000" w:rsidRPr="00000000">
        <w:rPr>
          <w:rtl w:val="0"/>
        </w:rPr>
        <w:t xml:space="preserve"> проводимом не позднее «21» августа 2026 г. Организатор Конкурса, указанный в п. 1.5.2. настоящего Положения,  организует проведение выставки из Конкурсных работ победителей Конкурса, а также других Конкурсных работ. В день торжественного открытия вышеуказанной выставки проводится оглашение списка победителей Конкурса, занявших призовые места в вышеуказанных номинациях, и вручение им от Организатора Конкурса, указанного в п. 1.5.1. настоящего Положения, соответствующих денежных вознаграждений, указанных в п. 2.1.3. настоящего Положения.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Всем участникам Конкурса вручаются Дипломы.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  <w:t xml:space="preserve">2.2. Денежные вознаграждения победителей Конкурса облагаются налогом на доходы физических лиц (НДФЛ) по ставке 13%, установленной п. 1 ст. 224 НК РФ, в части превышения размера 4000 (четырех тысяч) руб., установленного в п. 28 ст. 217 НК РФ. Организатор Конкурса, указанный в п. 1.5.1. настоящего Положения, выступает налоговым агентом для победителей Конкурса и самостоятельно перечисляет НДФЛ с сумм денежных вознаграждений в объеме и в порядке, предусмотренном  действующим законодательством РФ.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Авторские права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Конкурсные работы являются результатом творческой деятельности участников Конкурса. На момент передачи Конкурсной работы Организаторам Конкурса участник Конкурса обладает всеми необходимыми правами для принятия всех условий проведения Конкурса, предусмотренных Положением;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Организаторы Конкурса вправе использовать Конкурсные работы на условиях простой (неисключительной) лицензии, путем проведения фотосъемки мероприятий Конкурса, тиражирования, воспроизведения и демонстрации Конкурсных работ с сохранением авторства участников Конкурса для создания рекламных материалов о Конкурсе, для  размещения их на Интернет-ресурсах Организаторов конкурса, для публикации их в буклетах, журналах, на сувенирной продукции и т.д. Использование Конкурсной работы Организатором Конкурса в соответствии с условиями настоящего Положения не приведет к нарушению прав и законных интересов третьих лиц. Использование Конкурсной работы Организатором Конкурса допускается на территории РФ в течение 20 лет (срока действия неисключительного права на Конкурсные работы с момента предоставления права использования), без выплаты вознаграждения за использование Конкурсных работ и без представления отчетов. Право использования конкурсной работы считается предоставленным в момент получения Организатором Конкурса Конкурсной работы в порядке, указанном в настоящем Положении, безотносительно результатов оценки работ участников Конкурса.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3.3. Конкурсные работы, получившие призовые места в вышеуказанных номинациях, не возвращаются участникам Конкурса, а переходят в собственность Организатора Конкурса, указанного в п. 1.5.1. настоящего Положения, на основании договора дарения, заключаемого после окончания Конкурса.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  <w:t xml:space="preserve">3.4. По итогам проведения Конкурса возможен выкуп Конкурсных работ, не ставших победителями Конкурса (участник вправе указать стоимость своей Конкурсной  работы при передаче ее для участия в Конкурсе).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Персональные данные.</w:t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4.1. Принимая участие в Конкурсе, участник Конкурса свободно, своей волей и в своем интересе дает Организаторам конкурса свое согласие на: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  <w:t xml:space="preserve">4.1.1. Обработку,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персональных данных участника Конкурса</w:t>
      </w:r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предоставленных Организаторам Конкурса: фамилию, имя, отчество, паспортные данные, адрес регистрации, адрес проживания, телефон, электронная почта, ИНН, образование, квалификацию и ее уровень; профессию (специальность); место и адрес работы, должность; иные данные, предоставленные Организаторам Конкурса, а также  обусловленные участием в Конкурсе.</w:t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4.1.2. Передачу персональных данных, указанных в п. 2.1.1. настоящего Положения,  Организаторам Конкурса для целей содействия в организационных мероприятиях Конкурса;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  <w:t xml:space="preserve">4.1.3. Целями  предоставления согласия на обработку персональных данных является обеспечение организации и проведения Конкурса, распространение его результатов. Срок, в течение которого действует согласие, составляет 3 (три года) с момента окончания Конкурса. Отзыв согласия на обработку персональных данных осуществляется в порядке, предусмотренном Федеральным законом от 27.07.2006 № 152-ФЗ "О персональных данных".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 Дополнительная информация.</w:t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  <w:t xml:space="preserve">5.1.  Дополнительную информацию о Конкурсе можно получить по телефонам:</w:t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  <w:t xml:space="preserve">- (84457) 5-35-18   Овсепян Нара  -  Художественная галерея;</w:t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  <w:t xml:space="preserve">- 8(906) 408-65-71  Пугачева Ольга — Союз организаторов культурно-зрелищного мероприятия «Камышинский Арбузный Фестиваль».</w:t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765" w:top="719" w:left="1440" w:right="746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footnote reference"/>
    <w:basedOn w:val="a0"/>
    <w:uiPriority w:val="99"/>
    <w:semiHidden w:val="1"/>
    <w:qFormat w:val="1"/>
    <w:rsid w:val="00F17671"/>
    <w:rPr>
      <w:vertAlign w:val="superscript"/>
    </w:rPr>
  </w:style>
  <w:style w:type="paragraph" w:styleId="a4">
    <w:name w:val="Balloon Text"/>
    <w:basedOn w:val="a"/>
    <w:link w:val="a5"/>
    <w:uiPriority w:val="99"/>
    <w:semiHidden w:val="1"/>
    <w:unhideWhenUsed w:val="1"/>
    <w:qFormat w:val="1"/>
    <w:rsid w:val="00F17671"/>
    <w:rPr>
      <w:rFonts w:ascii="Tahoma" w:cs="Tahoma" w:hAnsi="Tahoma"/>
      <w:sz w:val="16"/>
      <w:szCs w:val="16"/>
    </w:rPr>
  </w:style>
  <w:style w:type="paragraph" w:styleId="a6">
    <w:name w:val="caption"/>
    <w:basedOn w:val="a"/>
    <w:uiPriority w:val="99"/>
    <w:qFormat w:val="1"/>
    <w:rsid w:val="00F17671"/>
    <w:pPr>
      <w:suppressLineNumbers w:val="1"/>
      <w:spacing w:after="120" w:before="120"/>
    </w:pPr>
    <w:rPr>
      <w:i w:val="1"/>
      <w:iCs w:val="1"/>
    </w:rPr>
  </w:style>
  <w:style w:type="paragraph" w:styleId="a7">
    <w:name w:val="footnote text"/>
    <w:basedOn w:val="a"/>
    <w:link w:val="a8"/>
    <w:uiPriority w:val="99"/>
    <w:semiHidden w:val="1"/>
    <w:qFormat w:val="1"/>
    <w:rsid w:val="00F17671"/>
    <w:pPr>
      <w:suppressAutoHyphens w:val="0"/>
    </w:pPr>
    <w:rPr>
      <w:rFonts w:ascii="Calibri" w:cs="Calibri" w:hAnsi="Calibri"/>
      <w:sz w:val="20"/>
      <w:szCs w:val="20"/>
      <w:lang w:eastAsia="en-US"/>
    </w:rPr>
  </w:style>
  <w:style w:type="paragraph" w:styleId="a9">
    <w:name w:val="Body Text"/>
    <w:basedOn w:val="a"/>
    <w:link w:val="aa"/>
    <w:uiPriority w:val="99"/>
    <w:qFormat w:val="1"/>
    <w:rsid w:val="00F17671"/>
    <w:pPr>
      <w:spacing w:after="120"/>
    </w:pPr>
  </w:style>
  <w:style w:type="paragraph" w:styleId="ae" w:customStyle="1">
    <w:name w:val="Заголовок"/>
    <w:basedOn w:val="a"/>
    <w:next w:val="a9"/>
    <w:uiPriority w:val="99"/>
    <w:qFormat w:val="1"/>
    <w:rsid w:val="00F17671"/>
    <w:pPr>
      <w:keepNext w:val="1"/>
      <w:spacing w:after="120" w:before="240"/>
    </w:pPr>
    <w:rPr>
      <w:rFonts w:ascii="Arial" w:cs="Arial" w:hAnsi="Arial"/>
      <w:sz w:val="28"/>
      <w:szCs w:val="28"/>
    </w:rPr>
  </w:style>
  <w:style w:type="paragraph" w:styleId="af0">
    <w:name w:val="footer"/>
    <w:basedOn w:val="a"/>
    <w:link w:val="af1"/>
    <w:uiPriority w:val="99"/>
    <w:qFormat w:val="1"/>
    <w:rsid w:val="00F17671"/>
    <w:pPr>
      <w:suppressLineNumbers w:val="1"/>
      <w:tabs>
        <w:tab w:val="center" w:pos="4677"/>
        <w:tab w:val="right" w:pos="9355"/>
      </w:tabs>
    </w:pPr>
  </w:style>
  <w:style w:type="paragraph" w:styleId="af2">
    <w:name w:val="List"/>
    <w:basedOn w:val="a9"/>
    <w:uiPriority w:val="99"/>
    <w:qFormat w:val="1"/>
    <w:rsid w:val="00F17671"/>
  </w:style>
  <w:style w:type="paragraph" w:styleId="af3">
    <w:name w:val="Normal (Web)"/>
    <w:basedOn w:val="a"/>
    <w:uiPriority w:val="99"/>
    <w:qFormat w:val="1"/>
    <w:rsid w:val="00F17671"/>
    <w:pPr>
      <w:suppressAutoHyphens w:val="0"/>
      <w:spacing w:after="100" w:afterAutospacing="1" w:before="100" w:beforeAutospacing="1"/>
    </w:pPr>
    <w:rPr>
      <w:lang w:eastAsia="ru-RU"/>
    </w:rPr>
  </w:style>
  <w:style w:type="character" w:styleId="1" w:customStyle="1">
    <w:name w:val="Основной шрифт абзаца1"/>
    <w:uiPriority w:val="99"/>
    <w:qFormat w:val="1"/>
    <w:rsid w:val="00F17671"/>
  </w:style>
  <w:style w:type="character" w:styleId="WW8Num1z0" w:customStyle="1">
    <w:name w:val="WW8Num1z0"/>
    <w:uiPriority w:val="99"/>
    <w:qFormat w:val="1"/>
    <w:rsid w:val="00F17671"/>
  </w:style>
  <w:style w:type="character" w:styleId="WW8Num1z1" w:customStyle="1">
    <w:name w:val="WW8Num1z1"/>
    <w:uiPriority w:val="99"/>
    <w:qFormat w:val="1"/>
    <w:rsid w:val="00F17671"/>
  </w:style>
  <w:style w:type="character" w:styleId="WW8Num1z2" w:customStyle="1">
    <w:name w:val="WW8Num1z2"/>
    <w:uiPriority w:val="99"/>
    <w:qFormat w:val="1"/>
    <w:rsid w:val="00F17671"/>
  </w:style>
  <w:style w:type="character" w:styleId="WW8Num1z3" w:customStyle="1">
    <w:name w:val="WW8Num1z3"/>
    <w:uiPriority w:val="99"/>
    <w:qFormat w:val="1"/>
    <w:rsid w:val="00F17671"/>
  </w:style>
  <w:style w:type="character" w:styleId="WW8Num1z4" w:customStyle="1">
    <w:name w:val="WW8Num1z4"/>
    <w:uiPriority w:val="99"/>
    <w:qFormat w:val="1"/>
    <w:rsid w:val="00F17671"/>
  </w:style>
  <w:style w:type="character" w:styleId="WW8Num1z5" w:customStyle="1">
    <w:name w:val="WW8Num1z5"/>
    <w:uiPriority w:val="99"/>
    <w:qFormat w:val="1"/>
    <w:rsid w:val="00F17671"/>
  </w:style>
  <w:style w:type="character" w:styleId="WW8Num1z6" w:customStyle="1">
    <w:name w:val="WW8Num1z6"/>
    <w:uiPriority w:val="99"/>
    <w:qFormat w:val="1"/>
    <w:rsid w:val="00F17671"/>
  </w:style>
  <w:style w:type="character" w:styleId="WW8Num1z7" w:customStyle="1">
    <w:name w:val="WW8Num1z7"/>
    <w:uiPriority w:val="99"/>
    <w:qFormat w:val="1"/>
    <w:rsid w:val="00F17671"/>
  </w:style>
  <w:style w:type="character" w:styleId="WW8Num1z8" w:customStyle="1">
    <w:name w:val="WW8Num1z8"/>
    <w:uiPriority w:val="99"/>
    <w:qFormat w:val="1"/>
    <w:rsid w:val="00F17671"/>
  </w:style>
  <w:style w:type="character" w:styleId="WW8Num2z0" w:customStyle="1">
    <w:name w:val="WW8Num2z0"/>
    <w:uiPriority w:val="99"/>
    <w:qFormat w:val="1"/>
    <w:rsid w:val="00F17671"/>
    <w:rPr>
      <w:rFonts w:ascii="Symbol" w:cs="Symbol" w:hAnsi="Symbol"/>
    </w:rPr>
  </w:style>
  <w:style w:type="character" w:styleId="WW8Num2z1" w:customStyle="1">
    <w:name w:val="WW8Num2z1"/>
    <w:uiPriority w:val="99"/>
    <w:qFormat w:val="1"/>
    <w:rsid w:val="00F17671"/>
    <w:rPr>
      <w:rFonts w:ascii="Courier New" w:cs="Courier New" w:hAnsi="Courier New"/>
    </w:rPr>
  </w:style>
  <w:style w:type="character" w:styleId="WW8Num2z2" w:customStyle="1">
    <w:name w:val="WW8Num2z2"/>
    <w:uiPriority w:val="99"/>
    <w:qFormat w:val="1"/>
    <w:rsid w:val="00F17671"/>
    <w:rPr>
      <w:rFonts w:ascii="Wingdings" w:cs="Wingdings" w:hAnsi="Wingdings"/>
    </w:rPr>
  </w:style>
  <w:style w:type="character" w:styleId="11" w:customStyle="1">
    <w:name w:val="Основной шрифт абзаца11"/>
    <w:uiPriority w:val="99"/>
    <w:qFormat w:val="1"/>
    <w:rsid w:val="00F17671"/>
  </w:style>
  <w:style w:type="character" w:styleId="Alexey" w:customStyle="1">
    <w:name w:val="Alexey"/>
    <w:uiPriority w:val="99"/>
    <w:qFormat w:val="1"/>
    <w:rsid w:val="00F17671"/>
    <w:rPr>
      <w:rFonts w:ascii="Arial" w:cs="Arial" w:hAnsi="Arial"/>
      <w:color w:val="auto"/>
      <w:sz w:val="20"/>
      <w:szCs w:val="20"/>
    </w:rPr>
  </w:style>
  <w:style w:type="character" w:styleId="af4" w:customStyle="1">
    <w:name w:val="Сноска_"/>
    <w:uiPriority w:val="99"/>
    <w:qFormat w:val="1"/>
    <w:rsid w:val="00F17671"/>
    <w:rPr>
      <w:rFonts w:ascii="Bookman Old Style" w:cs="Bookman Old Style" w:hAnsi="Bookman Old Style"/>
      <w:spacing w:val="2"/>
      <w:sz w:val="18"/>
      <w:szCs w:val="18"/>
    </w:rPr>
  </w:style>
  <w:style w:type="character" w:styleId="10" w:customStyle="1">
    <w:name w:val="Номер страницы1"/>
    <w:basedOn w:val="11"/>
    <w:uiPriority w:val="99"/>
    <w:qFormat w:val="1"/>
    <w:rsid w:val="00F17671"/>
  </w:style>
  <w:style w:type="character" w:styleId="s3" w:customStyle="1">
    <w:name w:val="s3"/>
    <w:basedOn w:val="11"/>
    <w:uiPriority w:val="99"/>
    <w:qFormat w:val="1"/>
    <w:rsid w:val="00F17671"/>
  </w:style>
  <w:style w:type="character" w:styleId="apple-converted-space" w:customStyle="1">
    <w:name w:val="apple-converted-space"/>
    <w:basedOn w:val="11"/>
    <w:uiPriority w:val="99"/>
    <w:qFormat w:val="1"/>
    <w:rsid w:val="00F17671"/>
  </w:style>
  <w:style w:type="character" w:styleId="af5" w:customStyle="1">
    <w:name w:val="Символ нумерации"/>
    <w:uiPriority w:val="99"/>
    <w:qFormat w:val="1"/>
    <w:rsid w:val="00F17671"/>
  </w:style>
  <w:style w:type="character" w:styleId="af6" w:customStyle="1">
    <w:name w:val="Маркеры списка"/>
    <w:uiPriority w:val="99"/>
    <w:qFormat w:val="1"/>
    <w:rsid w:val="00F17671"/>
    <w:rPr>
      <w:rFonts w:ascii="OpenSymbol" w:cs="OpenSymbol" w:hAnsi="OpenSymbol"/>
    </w:rPr>
  </w:style>
  <w:style w:type="character" w:styleId="aa" w:customStyle="1">
    <w:name w:val="Основной текст Знак"/>
    <w:basedOn w:val="a0"/>
    <w:link w:val="a9"/>
    <w:uiPriority w:val="99"/>
    <w:semiHidden w:val="1"/>
    <w:qFormat w:val="1"/>
    <w:locked w:val="1"/>
    <w:rsid w:val="00F17671"/>
    <w:rPr>
      <w:sz w:val="24"/>
      <w:szCs w:val="24"/>
      <w:lang w:eastAsia="zh-CN"/>
    </w:rPr>
  </w:style>
  <w:style w:type="paragraph" w:styleId="2" w:customStyle="1">
    <w:name w:val="Указатель2"/>
    <w:basedOn w:val="a"/>
    <w:uiPriority w:val="99"/>
    <w:qFormat w:val="1"/>
    <w:rsid w:val="00F17671"/>
    <w:pPr>
      <w:suppressLineNumbers w:val="1"/>
    </w:pPr>
  </w:style>
  <w:style w:type="character" w:styleId="ad" w:customStyle="1">
    <w:name w:val="Название Знак"/>
    <w:basedOn w:val="a0"/>
    <w:link w:val="ab"/>
    <w:uiPriority w:val="99"/>
    <w:qFormat w:val="1"/>
    <w:locked w:val="1"/>
    <w:rsid w:val="00F17671"/>
    <w:rPr>
      <w:rFonts w:ascii="Cambria" w:cs="Cambria" w:hAnsi="Cambria"/>
      <w:b w:val="1"/>
      <w:bCs w:val="1"/>
      <w:kern w:val="28"/>
      <w:sz w:val="32"/>
      <w:szCs w:val="32"/>
      <w:lang w:eastAsia="zh-CN"/>
    </w:rPr>
  </w:style>
  <w:style w:type="character" w:styleId="af" w:customStyle="1">
    <w:name w:val="Подзаголовок Знак"/>
    <w:basedOn w:val="a0"/>
    <w:link w:val="ac"/>
    <w:uiPriority w:val="99"/>
    <w:qFormat w:val="1"/>
    <w:locked w:val="1"/>
    <w:rsid w:val="00F17671"/>
    <w:rPr>
      <w:rFonts w:ascii="Cambria" w:cs="Cambria" w:hAnsi="Cambria"/>
      <w:sz w:val="24"/>
      <w:szCs w:val="24"/>
      <w:lang w:eastAsia="zh-CN"/>
    </w:rPr>
  </w:style>
  <w:style w:type="paragraph" w:styleId="12" w:customStyle="1">
    <w:name w:val="Название объекта1"/>
    <w:basedOn w:val="a"/>
    <w:uiPriority w:val="99"/>
    <w:qFormat w:val="1"/>
    <w:rsid w:val="00F17671"/>
    <w:pPr>
      <w:suppressLineNumbers w:val="1"/>
      <w:spacing w:after="120" w:before="120"/>
    </w:pPr>
    <w:rPr>
      <w:i w:val="1"/>
      <w:iCs w:val="1"/>
    </w:rPr>
  </w:style>
  <w:style w:type="paragraph" w:styleId="13" w:customStyle="1">
    <w:name w:val="Указатель1"/>
    <w:basedOn w:val="a"/>
    <w:uiPriority w:val="99"/>
    <w:qFormat w:val="1"/>
    <w:rsid w:val="00F17671"/>
    <w:pPr>
      <w:suppressLineNumbers w:val="1"/>
    </w:pPr>
  </w:style>
  <w:style w:type="paragraph" w:styleId="14" w:customStyle="1">
    <w:name w:val="Сноска1"/>
    <w:basedOn w:val="a"/>
    <w:uiPriority w:val="99"/>
    <w:qFormat w:val="1"/>
    <w:rsid w:val="00F17671"/>
    <w:pPr>
      <w:widowControl w:val="0"/>
      <w:shd w:color="auto" w:fill="ffffff" w:val="clear"/>
      <w:spacing w:line="278" w:lineRule="exact"/>
      <w:ind w:hanging="360"/>
    </w:pPr>
    <w:rPr>
      <w:rFonts w:ascii="Bookman Old Style" w:cs="Bookman Old Style" w:hAnsi="Bookman Old Style"/>
      <w:spacing w:val="2"/>
      <w:sz w:val="18"/>
      <w:szCs w:val="18"/>
      <w:lang w:eastAsia="ru-RU"/>
    </w:rPr>
  </w:style>
  <w:style w:type="paragraph" w:styleId="15" w:customStyle="1">
    <w:name w:val="Обычный (веб)1"/>
    <w:basedOn w:val="a"/>
    <w:uiPriority w:val="99"/>
    <w:qFormat w:val="1"/>
    <w:rsid w:val="00F17671"/>
    <w:pPr>
      <w:spacing w:after="280" w:before="280"/>
    </w:pPr>
  </w:style>
  <w:style w:type="paragraph" w:styleId="af7" w:customStyle="1">
    <w:name w:val="Верхний и нижний колонтитулы"/>
    <w:basedOn w:val="a"/>
    <w:uiPriority w:val="99"/>
    <w:qFormat w:val="1"/>
    <w:rsid w:val="00F17671"/>
    <w:pPr>
      <w:suppressLineNumbers w:val="1"/>
      <w:tabs>
        <w:tab w:val="center" w:pos="4819"/>
        <w:tab w:val="right" w:pos="9638"/>
      </w:tabs>
    </w:pPr>
  </w:style>
  <w:style w:type="character" w:styleId="af1" w:customStyle="1">
    <w:name w:val="Нижний колонтитул Знак"/>
    <w:basedOn w:val="a0"/>
    <w:link w:val="af0"/>
    <w:uiPriority w:val="99"/>
    <w:semiHidden w:val="1"/>
    <w:qFormat w:val="1"/>
    <w:locked w:val="1"/>
    <w:rsid w:val="00F17671"/>
    <w:rPr>
      <w:sz w:val="24"/>
      <w:szCs w:val="24"/>
      <w:lang w:eastAsia="zh-CN"/>
    </w:rPr>
  </w:style>
  <w:style w:type="paragraph" w:styleId="af8" w:customStyle="1">
    <w:name w:val="Содержимое таблицы"/>
    <w:basedOn w:val="a"/>
    <w:uiPriority w:val="99"/>
    <w:qFormat w:val="1"/>
    <w:rsid w:val="00F17671"/>
    <w:pPr>
      <w:suppressLineNumbers w:val="1"/>
    </w:pPr>
  </w:style>
  <w:style w:type="paragraph" w:styleId="af9" w:customStyle="1">
    <w:name w:val="Заголовок таблицы"/>
    <w:basedOn w:val="af8"/>
    <w:uiPriority w:val="99"/>
    <w:qFormat w:val="1"/>
    <w:rsid w:val="00F17671"/>
    <w:pPr>
      <w:jc w:val="center"/>
    </w:pPr>
    <w:rPr>
      <w:b w:val="1"/>
      <w:bCs w:val="1"/>
    </w:rPr>
  </w:style>
  <w:style w:type="paragraph" w:styleId="afa" w:customStyle="1">
    <w:name w:val="Содержимое врезки"/>
    <w:basedOn w:val="a"/>
    <w:uiPriority w:val="99"/>
    <w:qFormat w:val="1"/>
    <w:rsid w:val="00F17671"/>
  </w:style>
  <w:style w:type="paragraph" w:styleId="16" w:customStyle="1">
    <w:name w:val="Стиль1"/>
    <w:basedOn w:val="a"/>
    <w:link w:val="17"/>
    <w:uiPriority w:val="99"/>
    <w:qFormat w:val="1"/>
    <w:rsid w:val="00F17671"/>
    <w:pPr>
      <w:suppressAutoHyphens w:val="0"/>
      <w:ind w:firstLine="708"/>
      <w:jc w:val="both"/>
    </w:pPr>
    <w:rPr>
      <w:sz w:val="26"/>
      <w:szCs w:val="26"/>
      <w:lang w:eastAsia="en-US"/>
    </w:rPr>
  </w:style>
  <w:style w:type="character" w:styleId="17" w:customStyle="1">
    <w:name w:val="Стиль1 Знак"/>
    <w:basedOn w:val="a0"/>
    <w:link w:val="16"/>
    <w:uiPriority w:val="99"/>
    <w:qFormat w:val="1"/>
    <w:locked w:val="1"/>
    <w:rsid w:val="00F17671"/>
    <w:rPr>
      <w:sz w:val="26"/>
      <w:szCs w:val="26"/>
      <w:lang w:eastAsia="en-US" w:val="ru-RU"/>
    </w:rPr>
  </w:style>
  <w:style w:type="character" w:styleId="a8" w:customStyle="1">
    <w:name w:val="Текст сноски Знак"/>
    <w:basedOn w:val="a0"/>
    <w:link w:val="a7"/>
    <w:uiPriority w:val="99"/>
    <w:semiHidden w:val="1"/>
    <w:qFormat w:val="1"/>
    <w:locked w:val="1"/>
    <w:rsid w:val="00F17671"/>
    <w:rPr>
      <w:rFonts w:ascii="Calibri" w:cs="Calibri" w:hAnsi="Calibri"/>
      <w:lang w:eastAsia="en-US" w:val="ru-RU"/>
    </w:rPr>
  </w:style>
  <w:style w:type="paragraph" w:styleId="afb">
    <w:name w:val="List Paragraph"/>
    <w:basedOn w:val="a"/>
    <w:uiPriority w:val="99"/>
    <w:qFormat w:val="1"/>
    <w:rsid w:val="00F17671"/>
    <w:pPr>
      <w:suppressAutoHyphens w:val="0"/>
      <w:spacing w:after="200" w:line="276" w:lineRule="auto"/>
      <w:ind w:left="720"/>
    </w:pPr>
    <w:rPr>
      <w:rFonts w:ascii="Calibri" w:cs="Calibri" w:hAnsi="Calibri"/>
      <w:sz w:val="22"/>
      <w:szCs w:val="22"/>
      <w:lang w:eastAsia="en-US"/>
    </w:rPr>
  </w:style>
  <w:style w:type="character" w:styleId="a5" w:customStyle="1">
    <w:name w:val="Текст выноски Знак"/>
    <w:basedOn w:val="a0"/>
    <w:link w:val="a4"/>
    <w:uiPriority w:val="99"/>
    <w:semiHidden w:val="1"/>
    <w:qFormat w:val="1"/>
    <w:rsid w:val="00F17671"/>
    <w:rPr>
      <w:rFonts w:ascii="Tahoma" w:cs="Tahoma" w:hAnsi="Tahoma"/>
      <w:sz w:val="16"/>
      <w:szCs w:val="16"/>
      <w:lang w:eastAsia="zh-CN"/>
    </w:rPr>
  </w:style>
  <w:style w:type="character" w:styleId="afc">
    <w:name w:val="Hyperlink"/>
    <w:basedOn w:val="a0"/>
    <w:uiPriority w:val="99"/>
    <w:unhideWhenUsed w:val="1"/>
    <w:rsid w:val="000E1B0A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forms.gle/nfyQP9BMZMAAnFUr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Ql5scq1P4sbYP1eBnJqgJNceg==">CgMxLjAyDmgubzdzcHJ1cDdrbHE2OAByITFwLWNuWHFpX0x2Zi1jTUppNlRjVzBkS1FEWkp0Q2tLVA==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2024-02-15T12:56:00Z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r8>1.38104728525306E-305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F37B3DD1EF4A41BC8CE4AD18C33082CE_13</vt:lpwstr>
  </property>
</Properties>
</file>