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8C6" w:rsidRDefault="00BD541E" w:rsidP="008F48C6">
      <w:pPr>
        <w:pStyle w:val="20"/>
        <w:shd w:val="clear" w:color="auto" w:fill="auto"/>
        <w:spacing w:after="0" w:line="24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:rsidR="007D7741" w:rsidRDefault="00FD3448" w:rsidP="008138F7">
      <w:pPr>
        <w:pStyle w:val="20"/>
        <w:shd w:val="clear" w:color="auto" w:fill="auto"/>
        <w:spacing w:after="0" w:line="240" w:lineRule="auto"/>
        <w:ind w:firstLine="709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Приложение к приказу № </w:t>
      </w:r>
      <w:r w:rsidR="005756F8">
        <w:rPr>
          <w:lang w:eastAsia="en-US"/>
        </w:rPr>
        <w:t>140/1 от 05.12.</w:t>
      </w:r>
      <w:r w:rsidR="008138F7">
        <w:rPr>
          <w:lang w:eastAsia="en-US"/>
        </w:rPr>
        <w:t>2018 г.</w:t>
      </w:r>
      <w:r>
        <w:rPr>
          <w:lang w:eastAsia="en-US"/>
        </w:rPr>
        <w:t xml:space="preserve"> </w:t>
      </w:r>
      <w:r w:rsidR="008138F7">
        <w:rPr>
          <w:lang w:eastAsia="en-US"/>
        </w:rPr>
        <w:t xml:space="preserve"> </w:t>
      </w:r>
    </w:p>
    <w:p w:rsidR="00177C7A" w:rsidRDefault="008138F7" w:rsidP="005756F8">
      <w:pPr>
        <w:pStyle w:val="20"/>
        <w:shd w:val="clear" w:color="auto" w:fill="auto"/>
        <w:spacing w:after="0" w:line="240" w:lineRule="auto"/>
        <w:ind w:firstLine="709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7D7741">
        <w:rPr>
          <w:lang w:eastAsia="en-US"/>
        </w:rPr>
        <w:tab/>
      </w:r>
      <w:r w:rsidR="007D7741">
        <w:rPr>
          <w:lang w:eastAsia="en-US"/>
        </w:rPr>
        <w:tab/>
      </w:r>
      <w:r w:rsidR="007D7741">
        <w:rPr>
          <w:lang w:eastAsia="en-US"/>
        </w:rPr>
        <w:tab/>
      </w:r>
    </w:p>
    <w:p w:rsidR="007D7741" w:rsidRDefault="00FD3448" w:rsidP="005756F8">
      <w:pPr>
        <w:pStyle w:val="20"/>
        <w:shd w:val="clear" w:color="auto" w:fill="auto"/>
        <w:spacing w:after="0" w:line="240" w:lineRule="auto"/>
        <w:ind w:left="5663" w:firstLine="709"/>
        <w:rPr>
          <w:lang w:eastAsia="en-US"/>
        </w:rPr>
      </w:pPr>
      <w:r>
        <w:rPr>
          <w:lang w:eastAsia="en-US"/>
        </w:rPr>
        <w:t>УТВЕРЖДАЮ</w:t>
      </w:r>
    </w:p>
    <w:p w:rsidR="005756F8" w:rsidRDefault="00BD541E" w:rsidP="005756F8">
      <w:pPr>
        <w:pStyle w:val="20"/>
        <w:shd w:val="clear" w:color="auto" w:fill="auto"/>
        <w:spacing w:after="0" w:line="240" w:lineRule="auto"/>
        <w:ind w:firstLine="709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Заведующий МБОУ д/с </w:t>
      </w:r>
    </w:p>
    <w:p w:rsidR="00FD3448" w:rsidRDefault="00BD541E" w:rsidP="005756F8">
      <w:pPr>
        <w:pStyle w:val="20"/>
        <w:shd w:val="clear" w:color="auto" w:fill="auto"/>
        <w:spacing w:after="0" w:line="240" w:lineRule="auto"/>
        <w:ind w:firstLine="709"/>
        <w:rPr>
          <w:lang w:eastAsia="en-US"/>
        </w:rPr>
      </w:pPr>
      <w:r>
        <w:rPr>
          <w:lang w:eastAsia="en-US"/>
        </w:rPr>
        <w:t>«Алые паруса» г. Цимлянска</w:t>
      </w:r>
    </w:p>
    <w:p w:rsidR="00FD3448" w:rsidRDefault="00BD541E" w:rsidP="008F48C6">
      <w:pPr>
        <w:pStyle w:val="20"/>
        <w:shd w:val="clear" w:color="auto" w:fill="auto"/>
        <w:spacing w:after="0" w:line="240" w:lineRule="auto"/>
        <w:ind w:firstLine="709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______________Егорова М.Ю.</w:t>
      </w:r>
    </w:p>
    <w:p w:rsidR="00FD3448" w:rsidRPr="00DD2F38" w:rsidRDefault="00FD3448" w:rsidP="008F48C6">
      <w:pPr>
        <w:pStyle w:val="20"/>
        <w:shd w:val="clear" w:color="auto" w:fill="auto"/>
        <w:spacing w:after="0" w:line="240" w:lineRule="auto"/>
        <w:ind w:firstLine="709"/>
        <w:jc w:val="both"/>
        <w:rPr>
          <w:u w:val="single"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BD541E">
        <w:rPr>
          <w:u w:val="single"/>
          <w:lang w:eastAsia="en-US"/>
        </w:rPr>
        <w:t xml:space="preserve"> </w:t>
      </w:r>
    </w:p>
    <w:p w:rsidR="007D7741" w:rsidRDefault="007D7741" w:rsidP="008F48C6">
      <w:pPr>
        <w:pStyle w:val="20"/>
        <w:shd w:val="clear" w:color="auto" w:fill="auto"/>
        <w:spacing w:after="0" w:line="240" w:lineRule="auto"/>
        <w:ind w:firstLine="709"/>
        <w:jc w:val="both"/>
        <w:rPr>
          <w:lang w:eastAsia="en-US"/>
        </w:rPr>
      </w:pPr>
    </w:p>
    <w:p w:rsidR="007D7741" w:rsidRDefault="007D7741" w:rsidP="008F48C6">
      <w:pPr>
        <w:pStyle w:val="20"/>
        <w:shd w:val="clear" w:color="auto" w:fill="auto"/>
        <w:spacing w:after="0" w:line="240" w:lineRule="auto"/>
        <w:ind w:firstLine="709"/>
        <w:jc w:val="both"/>
        <w:rPr>
          <w:lang w:eastAsia="en-US"/>
        </w:rPr>
      </w:pPr>
    </w:p>
    <w:p w:rsidR="008F48C6" w:rsidRDefault="008F48C6" w:rsidP="005756F8">
      <w:pPr>
        <w:pStyle w:val="20"/>
        <w:shd w:val="clear" w:color="auto" w:fill="auto"/>
        <w:spacing w:after="0" w:line="240" w:lineRule="auto"/>
        <w:ind w:firstLine="709"/>
        <w:jc w:val="center"/>
        <w:rPr>
          <w:lang w:eastAsia="en-US"/>
        </w:rPr>
      </w:pPr>
      <w:bookmarkStart w:id="0" w:name="_GoBack"/>
      <w:r>
        <w:rPr>
          <w:lang w:eastAsia="en-US"/>
        </w:rPr>
        <w:t xml:space="preserve">План по улучшению качества работы </w:t>
      </w:r>
      <w:r w:rsidR="00BD541E">
        <w:rPr>
          <w:lang w:eastAsia="en-US"/>
        </w:rPr>
        <w:t xml:space="preserve">  </w:t>
      </w:r>
      <w:r>
        <w:rPr>
          <w:lang w:eastAsia="en-US"/>
        </w:rPr>
        <w:t xml:space="preserve">МБДОУ д/с </w:t>
      </w:r>
      <w:r w:rsidR="00BD541E">
        <w:rPr>
          <w:lang w:eastAsia="en-US"/>
        </w:rPr>
        <w:t xml:space="preserve">«Алые паруса» г. Цимлянска </w:t>
      </w:r>
      <w:r>
        <w:rPr>
          <w:lang w:eastAsia="en-US"/>
        </w:rPr>
        <w:t>по результатам независимой оценки качества условий образовательной деяте</w:t>
      </w:r>
      <w:r w:rsidR="00BD541E">
        <w:rPr>
          <w:lang w:eastAsia="en-US"/>
        </w:rPr>
        <w:t>льности на 2018 -2019 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883"/>
        <w:gridCol w:w="1906"/>
        <w:gridCol w:w="1309"/>
        <w:gridCol w:w="1518"/>
        <w:gridCol w:w="1578"/>
        <w:gridCol w:w="1701"/>
      </w:tblGrid>
      <w:tr w:rsidR="00CE1A83" w:rsidRPr="008F48C6" w:rsidTr="00A50FE1">
        <w:tc>
          <w:tcPr>
            <w:tcW w:w="526" w:type="dxa"/>
          </w:tcPr>
          <w:bookmarkEnd w:id="0"/>
          <w:p w:rsidR="008F48C6" w:rsidRPr="008F48C6" w:rsidRDefault="008F48C6" w:rsidP="008F48C6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2"/>
                <w:lang w:eastAsia="en-US"/>
              </w:rPr>
            </w:pPr>
            <w:r w:rsidRPr="008F48C6">
              <w:rPr>
                <w:sz w:val="22"/>
                <w:lang w:eastAsia="en-US"/>
              </w:rPr>
              <w:t>№ п.п.</w:t>
            </w:r>
          </w:p>
        </w:tc>
        <w:tc>
          <w:tcPr>
            <w:tcW w:w="1763" w:type="dxa"/>
          </w:tcPr>
          <w:p w:rsidR="008F48C6" w:rsidRPr="008F48C6" w:rsidRDefault="008F48C6" w:rsidP="008F48C6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Наименование мероприятия</w:t>
            </w:r>
          </w:p>
        </w:tc>
        <w:tc>
          <w:tcPr>
            <w:tcW w:w="1934" w:type="dxa"/>
          </w:tcPr>
          <w:p w:rsidR="008F48C6" w:rsidRPr="008F48C6" w:rsidRDefault="008F48C6" w:rsidP="008F48C6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Основание реализации (результат  независимой оценки качества</w:t>
            </w:r>
            <w:r w:rsidR="00FB7CEA">
              <w:rPr>
                <w:sz w:val="22"/>
                <w:lang w:eastAsia="en-US"/>
              </w:rPr>
              <w:t>)</w:t>
            </w:r>
          </w:p>
        </w:tc>
        <w:tc>
          <w:tcPr>
            <w:tcW w:w="1327" w:type="dxa"/>
          </w:tcPr>
          <w:p w:rsidR="008F48C6" w:rsidRPr="008F48C6" w:rsidRDefault="00FB7CEA" w:rsidP="008F48C6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Срок реализации</w:t>
            </w:r>
          </w:p>
        </w:tc>
        <w:tc>
          <w:tcPr>
            <w:tcW w:w="1539" w:type="dxa"/>
          </w:tcPr>
          <w:p w:rsidR="008F48C6" w:rsidRPr="008F48C6" w:rsidRDefault="00FB7CEA" w:rsidP="008F48C6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Ответственный</w:t>
            </w:r>
          </w:p>
        </w:tc>
        <w:tc>
          <w:tcPr>
            <w:tcW w:w="1600" w:type="dxa"/>
          </w:tcPr>
          <w:p w:rsidR="008F48C6" w:rsidRPr="008F48C6" w:rsidRDefault="00FB7CEA" w:rsidP="008F48C6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Ожидаемый результат</w:t>
            </w:r>
          </w:p>
        </w:tc>
        <w:tc>
          <w:tcPr>
            <w:tcW w:w="1726" w:type="dxa"/>
          </w:tcPr>
          <w:p w:rsidR="008F48C6" w:rsidRPr="008F48C6" w:rsidRDefault="00FB7CEA" w:rsidP="008F48C6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Показатели, характеризующие результат выполнения</w:t>
            </w:r>
          </w:p>
        </w:tc>
      </w:tr>
      <w:tr w:rsidR="00FB7CEA" w:rsidRPr="008F48C6" w:rsidTr="00C44267">
        <w:tc>
          <w:tcPr>
            <w:tcW w:w="10415" w:type="dxa"/>
            <w:gridSpan w:val="7"/>
          </w:tcPr>
          <w:p w:rsidR="00FB7CEA" w:rsidRDefault="00FB7CEA" w:rsidP="00B221FA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1. </w:t>
            </w:r>
            <w:r w:rsidR="00B221FA">
              <w:rPr>
                <w:sz w:val="22"/>
                <w:lang w:eastAsia="en-US"/>
              </w:rPr>
              <w:t xml:space="preserve">Критерий 1 «Открытость и доступность информации об образовательной деятельности» </w:t>
            </w:r>
          </w:p>
        </w:tc>
      </w:tr>
      <w:tr w:rsidR="00CE1A83" w:rsidRPr="008F48C6" w:rsidTr="00A50FE1">
        <w:trPr>
          <w:trHeight w:val="4825"/>
        </w:trPr>
        <w:tc>
          <w:tcPr>
            <w:tcW w:w="526" w:type="dxa"/>
          </w:tcPr>
          <w:p w:rsidR="00E731AE" w:rsidRPr="008F48C6" w:rsidRDefault="00E731AE" w:rsidP="008F48C6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</w:t>
            </w:r>
          </w:p>
        </w:tc>
        <w:tc>
          <w:tcPr>
            <w:tcW w:w="1763" w:type="dxa"/>
          </w:tcPr>
          <w:p w:rsidR="00E731AE" w:rsidRDefault="00E731AE" w:rsidP="005E11A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Размещение сайта ДОУ на технической площадке РФ</w:t>
            </w:r>
          </w:p>
          <w:p w:rsidR="00E731AE" w:rsidRDefault="00E731AE" w:rsidP="005E11A3">
            <w:pPr>
              <w:pStyle w:val="20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</w:t>
            </w:r>
          </w:p>
        </w:tc>
        <w:tc>
          <w:tcPr>
            <w:tcW w:w="1934" w:type="dxa"/>
          </w:tcPr>
          <w:p w:rsidR="00E731AE" w:rsidRDefault="00E731AE" w:rsidP="005E11A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Образовательные организации обязаны размещать сайты в информационных системах, технические средства, которых размещены на территории РФ</w:t>
            </w:r>
          </w:p>
        </w:tc>
        <w:tc>
          <w:tcPr>
            <w:tcW w:w="1327" w:type="dxa"/>
          </w:tcPr>
          <w:p w:rsidR="00E731AE" w:rsidRDefault="00E731AE" w:rsidP="005E11A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Март 2019г.</w:t>
            </w:r>
          </w:p>
        </w:tc>
        <w:tc>
          <w:tcPr>
            <w:tcW w:w="1539" w:type="dxa"/>
          </w:tcPr>
          <w:p w:rsidR="00E731AE" w:rsidRDefault="00E731AE" w:rsidP="005E11A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Администратор сайта</w:t>
            </w:r>
          </w:p>
        </w:tc>
        <w:tc>
          <w:tcPr>
            <w:tcW w:w="1600" w:type="dxa"/>
          </w:tcPr>
          <w:p w:rsidR="00E731AE" w:rsidRDefault="00E731AE" w:rsidP="005E11A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Создание сайта на технических площадках, расположенных на территории Российской  Федерации   .</w:t>
            </w:r>
          </w:p>
        </w:tc>
        <w:tc>
          <w:tcPr>
            <w:tcW w:w="1726" w:type="dxa"/>
          </w:tcPr>
          <w:p w:rsidR="00E731AE" w:rsidRDefault="00E731AE" w:rsidP="005E11A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ч.2.1 ст.13 Федерального закона от 27 июля 2006 г. №149-ФЗ</w:t>
            </w:r>
            <w:r w:rsidR="005E11A3">
              <w:rPr>
                <w:sz w:val="22"/>
                <w:lang w:eastAsia="en-US"/>
              </w:rPr>
              <w:t xml:space="preserve"> «Об информации, информационных технологиях и о защите информации»</w:t>
            </w:r>
          </w:p>
        </w:tc>
      </w:tr>
      <w:tr w:rsidR="00CE1A83" w:rsidRPr="008F48C6" w:rsidTr="00A50FE1">
        <w:trPr>
          <w:trHeight w:val="982"/>
        </w:trPr>
        <w:tc>
          <w:tcPr>
            <w:tcW w:w="526" w:type="dxa"/>
          </w:tcPr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</w:t>
            </w:r>
          </w:p>
        </w:tc>
        <w:tc>
          <w:tcPr>
            <w:tcW w:w="1763" w:type="dxa"/>
          </w:tcPr>
          <w:p w:rsidR="00415C82" w:rsidRDefault="00415C82" w:rsidP="00415C82">
            <w:pPr>
              <w:pStyle w:val="20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Внутренний аудит содержания сайта ОУ.</w:t>
            </w:r>
          </w:p>
        </w:tc>
        <w:tc>
          <w:tcPr>
            <w:tcW w:w="1934" w:type="dxa"/>
            <w:vMerge w:val="restart"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88,89 баллов по показателю «Соответствие информации о деятельности образовательной организации, размещенной на официальном сайте организации, ее содержанию и порядку (форме), установленным нормативными правовыми актами» </w:t>
            </w: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Недостаточная полнота и актуальность информации об организации, размещаемой на официальном сайте.</w:t>
            </w:r>
          </w:p>
        </w:tc>
        <w:tc>
          <w:tcPr>
            <w:tcW w:w="1327" w:type="dxa"/>
            <w:vMerge w:val="restart"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Декабрь 2018г</w:t>
            </w: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В течении 10 дней с момента изменения информации.</w:t>
            </w: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1539" w:type="dxa"/>
            <w:vMerge w:val="restart"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 xml:space="preserve">Ответственный </w:t>
            </w: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за ведение сайта</w:t>
            </w: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Заведующий МБДОУ</w:t>
            </w:r>
          </w:p>
        </w:tc>
        <w:tc>
          <w:tcPr>
            <w:tcW w:w="1600" w:type="dxa"/>
            <w:vMerge w:val="restart"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Полнота и актуальность информации на сайте.</w:t>
            </w: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</w:t>
            </w: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Отсутствие замечаний в ходе внешнего и внутреннего аудита контрольных и надзорных органов.</w:t>
            </w: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Наличие на сайте ДОУ полной, достоверной информации о педагогических работниках.</w:t>
            </w: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1726" w:type="dxa"/>
            <w:vMerge w:val="restart"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Соответствие структуры и содержания сайтов ст. 97 ФЗ № 273 от 29.12.2012г. «Об образовании в РФ», Постановление Правительства РФ от 10.07.2013г. № 582</w:t>
            </w: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Правила предоставления и размещения информации на официальном сайте утверждены приказом Минфина России от 21.07.2011 №86-н Приказ Рособрнадзора «Об утверждении требований к структуре»</w:t>
            </w: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</w:tr>
      <w:tr w:rsidR="00CE1A83" w:rsidRPr="008F48C6" w:rsidTr="00A50FE1">
        <w:trPr>
          <w:trHeight w:val="1770"/>
        </w:trPr>
        <w:tc>
          <w:tcPr>
            <w:tcW w:w="526" w:type="dxa"/>
          </w:tcPr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1763" w:type="dxa"/>
          </w:tcPr>
          <w:p w:rsidR="00415C82" w:rsidRDefault="00415C82" w:rsidP="00415C82">
            <w:pPr>
              <w:pStyle w:val="20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Размещение правил внутреннего распорядка обучающихся</w:t>
            </w:r>
          </w:p>
        </w:tc>
        <w:tc>
          <w:tcPr>
            <w:tcW w:w="1934" w:type="dxa"/>
            <w:vMerge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1327" w:type="dxa"/>
            <w:vMerge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1539" w:type="dxa"/>
            <w:vMerge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1600" w:type="dxa"/>
            <w:vMerge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1726" w:type="dxa"/>
            <w:vMerge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</w:tr>
      <w:tr w:rsidR="00CE1A83" w:rsidRPr="008F48C6" w:rsidTr="00A50FE1">
        <w:trPr>
          <w:trHeight w:val="1305"/>
        </w:trPr>
        <w:tc>
          <w:tcPr>
            <w:tcW w:w="526" w:type="dxa"/>
          </w:tcPr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4    </w:t>
            </w: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763" w:type="dxa"/>
          </w:tcPr>
          <w:p w:rsidR="00415C82" w:rsidRDefault="00415C82" w:rsidP="00415C82">
            <w:pPr>
              <w:pStyle w:val="20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Размещение отчёта о результатах самообследования</w:t>
            </w:r>
          </w:p>
          <w:p w:rsidR="00415C82" w:rsidRDefault="00415C82" w:rsidP="00415C82">
            <w:pPr>
              <w:pStyle w:val="20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</w:t>
            </w:r>
          </w:p>
          <w:p w:rsidR="00415C82" w:rsidRDefault="00415C82" w:rsidP="00415C82">
            <w:pPr>
              <w:pStyle w:val="20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Pr="00415C82" w:rsidRDefault="00415C82" w:rsidP="00415C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34" w:type="dxa"/>
            <w:vMerge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1327" w:type="dxa"/>
            <w:vMerge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1539" w:type="dxa"/>
            <w:vMerge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1600" w:type="dxa"/>
            <w:vMerge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1726" w:type="dxa"/>
            <w:vMerge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</w:tr>
      <w:tr w:rsidR="00CE1A83" w:rsidRPr="008F48C6" w:rsidTr="00A50FE1">
        <w:trPr>
          <w:trHeight w:val="7275"/>
        </w:trPr>
        <w:tc>
          <w:tcPr>
            <w:tcW w:w="526" w:type="dxa"/>
          </w:tcPr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</w:t>
            </w: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763" w:type="dxa"/>
          </w:tcPr>
          <w:p w:rsidR="00415C82" w:rsidRDefault="00415C82" w:rsidP="00415C82">
            <w:pPr>
              <w:pStyle w:val="20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:rsidR="00415C82" w:rsidRDefault="00415C82" w:rsidP="00415C82">
            <w:pPr>
              <w:pStyle w:val="20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Обеспечение своевременного внесения изменений в информацию в раздел «Сведения о педагогических работниках» (сведения о повышении квалификации, о достижениях  педагогов</w:t>
            </w:r>
          </w:p>
          <w:p w:rsidR="00415C82" w:rsidRDefault="00415C82" w:rsidP="00415C82">
            <w:pPr>
              <w:rPr>
                <w:sz w:val="22"/>
                <w:lang w:eastAsia="en-US"/>
              </w:rPr>
            </w:pPr>
          </w:p>
        </w:tc>
        <w:tc>
          <w:tcPr>
            <w:tcW w:w="1934" w:type="dxa"/>
            <w:vMerge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1327" w:type="dxa"/>
            <w:vMerge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1539" w:type="dxa"/>
            <w:vMerge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1600" w:type="dxa"/>
            <w:vMerge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1726" w:type="dxa"/>
            <w:vMerge/>
          </w:tcPr>
          <w:p w:rsidR="00415C82" w:rsidRDefault="00415C82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</w:p>
        </w:tc>
      </w:tr>
      <w:tr w:rsidR="00CE1A83" w:rsidRPr="008F48C6" w:rsidTr="00A50FE1">
        <w:trPr>
          <w:trHeight w:val="969"/>
        </w:trPr>
        <w:tc>
          <w:tcPr>
            <w:tcW w:w="526" w:type="dxa"/>
          </w:tcPr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</w:t>
            </w: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415C82" w:rsidRDefault="00415C82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</w:t>
            </w:r>
          </w:p>
        </w:tc>
        <w:tc>
          <w:tcPr>
            <w:tcW w:w="1763" w:type="dxa"/>
          </w:tcPr>
          <w:p w:rsidR="00415C82" w:rsidRDefault="00415C82" w:rsidP="00415C82">
            <w:pPr>
              <w:pStyle w:val="20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Обеспечение «обратной связи» с пользователями сайта, ответы на обращения</w:t>
            </w:r>
          </w:p>
        </w:tc>
        <w:tc>
          <w:tcPr>
            <w:tcW w:w="1934" w:type="dxa"/>
          </w:tcPr>
          <w:p w:rsidR="00415C82" w:rsidRDefault="000B76B4" w:rsidP="000B76B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90 баллов по показателю  </w:t>
            </w:r>
            <w:r w:rsidR="00415C82">
              <w:rPr>
                <w:sz w:val="22"/>
                <w:lang w:eastAsia="en-US"/>
              </w:rPr>
              <w:t xml:space="preserve">«Наличие на официальном сайте образовательной организации </w:t>
            </w:r>
            <w:r>
              <w:rPr>
                <w:sz w:val="22"/>
                <w:lang w:eastAsia="en-US"/>
              </w:rPr>
              <w:t xml:space="preserve"> информации о дистанционных способах обратной связи и взаимодействия с получателями услуг и их функционирование</w:t>
            </w:r>
            <w:r w:rsidR="00415C82">
              <w:rPr>
                <w:sz w:val="22"/>
                <w:lang w:eastAsia="en-US"/>
              </w:rPr>
              <w:t>»</w:t>
            </w:r>
          </w:p>
        </w:tc>
        <w:tc>
          <w:tcPr>
            <w:tcW w:w="1327" w:type="dxa"/>
          </w:tcPr>
          <w:p w:rsidR="00415C82" w:rsidRDefault="000B76B4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По мере поступления обращений</w:t>
            </w:r>
          </w:p>
        </w:tc>
        <w:tc>
          <w:tcPr>
            <w:tcW w:w="1539" w:type="dxa"/>
          </w:tcPr>
          <w:p w:rsidR="00415C82" w:rsidRDefault="000B76B4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Заведующий МБДОУ</w:t>
            </w:r>
          </w:p>
        </w:tc>
        <w:tc>
          <w:tcPr>
            <w:tcW w:w="1600" w:type="dxa"/>
          </w:tcPr>
          <w:p w:rsidR="00415C82" w:rsidRDefault="000B76B4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Участие общественности в оценке качества услуг</w:t>
            </w:r>
          </w:p>
        </w:tc>
        <w:tc>
          <w:tcPr>
            <w:tcW w:w="1726" w:type="dxa"/>
          </w:tcPr>
          <w:p w:rsidR="00415C82" w:rsidRDefault="000B76B4" w:rsidP="00415C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Правила предоставления и размещения информации на официальном сайте утверждены приказом Минфина России от 21.07.2011г.</w:t>
            </w:r>
          </w:p>
        </w:tc>
      </w:tr>
      <w:tr w:rsidR="00D22FD7" w:rsidRPr="008F48C6" w:rsidTr="007118C7">
        <w:trPr>
          <w:trHeight w:val="477"/>
        </w:trPr>
        <w:tc>
          <w:tcPr>
            <w:tcW w:w="10415" w:type="dxa"/>
            <w:gridSpan w:val="7"/>
          </w:tcPr>
          <w:p w:rsidR="00D22FD7" w:rsidRDefault="00D22FD7" w:rsidP="00D22FD7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Комфортность условий и доступность получения образовательных услуг, в том числе для граждан с ограниченными возможностями здоровья.</w:t>
            </w:r>
          </w:p>
          <w:p w:rsidR="00D22FD7" w:rsidRDefault="00D22FD7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</w:tr>
      <w:tr w:rsidR="00A50FE1" w:rsidRPr="008F48C6" w:rsidTr="00A50FE1">
        <w:trPr>
          <w:trHeight w:val="4005"/>
        </w:trPr>
        <w:tc>
          <w:tcPr>
            <w:tcW w:w="526" w:type="dxa"/>
          </w:tcPr>
          <w:p w:rsidR="00A50FE1" w:rsidRDefault="00A50FE1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7</w:t>
            </w:r>
          </w:p>
        </w:tc>
        <w:tc>
          <w:tcPr>
            <w:tcW w:w="1763" w:type="dxa"/>
          </w:tcPr>
          <w:p w:rsidR="00A50FE1" w:rsidRDefault="00A50FE1" w:rsidP="006A37FF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Создание условий для развития творческих способностей: обеспечение участия в олимпиадах, конкурсах, выставках, смотрах, физкультурных и спортивных мероприятиях различных уровней.</w:t>
            </w:r>
          </w:p>
        </w:tc>
        <w:tc>
          <w:tcPr>
            <w:tcW w:w="1934" w:type="dxa"/>
          </w:tcPr>
          <w:p w:rsidR="00A50FE1" w:rsidRDefault="00A50FE1" w:rsidP="006A37FF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 баллов по показателю  «Наличие возможности развития творческих способностей и интересов обучающихся, их участие в конкурсах и олимпиадах»</w:t>
            </w:r>
          </w:p>
        </w:tc>
        <w:tc>
          <w:tcPr>
            <w:tcW w:w="1327" w:type="dxa"/>
          </w:tcPr>
          <w:p w:rsidR="00A50FE1" w:rsidRDefault="00A50FE1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В течении года</w:t>
            </w:r>
          </w:p>
        </w:tc>
        <w:tc>
          <w:tcPr>
            <w:tcW w:w="1539" w:type="dxa"/>
          </w:tcPr>
          <w:p w:rsidR="00A50FE1" w:rsidRDefault="00A50FE1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Педагоги </w:t>
            </w:r>
          </w:p>
        </w:tc>
        <w:tc>
          <w:tcPr>
            <w:tcW w:w="1600" w:type="dxa"/>
          </w:tcPr>
          <w:p w:rsidR="00A50FE1" w:rsidRDefault="00A50FE1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726" w:type="dxa"/>
          </w:tcPr>
          <w:p w:rsidR="00A50FE1" w:rsidRDefault="00A50FE1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ФЗ-273 от 2012 г. «Об образовании в РФ». Локальные акты образовательного учреждения</w:t>
            </w:r>
          </w:p>
        </w:tc>
      </w:tr>
      <w:tr w:rsidR="00A50FE1" w:rsidRPr="008F48C6" w:rsidTr="00CE1A83">
        <w:trPr>
          <w:trHeight w:val="913"/>
        </w:trPr>
        <w:tc>
          <w:tcPr>
            <w:tcW w:w="10415" w:type="dxa"/>
            <w:gridSpan w:val="7"/>
          </w:tcPr>
          <w:p w:rsidR="00A50FE1" w:rsidRDefault="00CE1A83" w:rsidP="00CE1A83">
            <w:pPr>
              <w:pStyle w:val="20"/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Оборудование помещений образовательной организации и прилегающей к ней территории с учетом доступности для инвалидов</w:t>
            </w:r>
          </w:p>
        </w:tc>
      </w:tr>
      <w:tr w:rsidR="00A50FE1" w:rsidRPr="008F48C6" w:rsidTr="00A50FE1">
        <w:trPr>
          <w:trHeight w:val="1155"/>
        </w:trPr>
        <w:tc>
          <w:tcPr>
            <w:tcW w:w="526" w:type="dxa"/>
          </w:tcPr>
          <w:p w:rsidR="00A50FE1" w:rsidRDefault="00CE1A83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</w:t>
            </w:r>
          </w:p>
        </w:tc>
        <w:tc>
          <w:tcPr>
            <w:tcW w:w="1763" w:type="dxa"/>
          </w:tcPr>
          <w:p w:rsidR="00A50FE1" w:rsidRDefault="00CE1A83" w:rsidP="006A37FF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Совершенствование условий организации обучения и воспитания детей с ОВЗ и инвалидов</w:t>
            </w:r>
          </w:p>
          <w:p w:rsidR="00A50FE1" w:rsidRDefault="00A50FE1" w:rsidP="006A37FF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:rsidR="00A50FE1" w:rsidRDefault="00A50FE1" w:rsidP="006A37FF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934" w:type="dxa"/>
          </w:tcPr>
          <w:p w:rsidR="00A50FE1" w:rsidRDefault="00CE1A83" w:rsidP="006A37FF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Недостаточная степень выполнения условий доступности для детей инвалидов.</w:t>
            </w:r>
          </w:p>
          <w:p w:rsidR="00CE1A83" w:rsidRDefault="00CE1A83" w:rsidP="006A37FF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 баллов по показателю «Наличие в помещениях образовательной организации и на прилегающей к ней территории условий для инвалидов »</w:t>
            </w:r>
          </w:p>
        </w:tc>
        <w:tc>
          <w:tcPr>
            <w:tcW w:w="1327" w:type="dxa"/>
          </w:tcPr>
          <w:p w:rsidR="00A50FE1" w:rsidRDefault="00CE1A83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В течении года.</w:t>
            </w:r>
          </w:p>
        </w:tc>
        <w:tc>
          <w:tcPr>
            <w:tcW w:w="1539" w:type="dxa"/>
          </w:tcPr>
          <w:p w:rsidR="00A50FE1" w:rsidRDefault="00CE1A83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Заведующий МБДОУ</w:t>
            </w:r>
          </w:p>
        </w:tc>
        <w:tc>
          <w:tcPr>
            <w:tcW w:w="1600" w:type="dxa"/>
          </w:tcPr>
          <w:p w:rsidR="00A50FE1" w:rsidRDefault="00CE1A83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Наличие условий организации обучения и воспитания детей с ОВЗ и инвалидов</w:t>
            </w:r>
          </w:p>
        </w:tc>
        <w:tc>
          <w:tcPr>
            <w:tcW w:w="1726" w:type="dxa"/>
          </w:tcPr>
          <w:p w:rsidR="00A50FE1" w:rsidRDefault="00CE1A83" w:rsidP="008F48C6">
            <w:pPr>
              <w:pStyle w:val="20"/>
              <w:spacing w:after="0" w:line="240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ФЗ-273 от 2012 г. «Об образовании в РФ». Локальные акты образовательного учреждения</w:t>
            </w:r>
          </w:p>
        </w:tc>
      </w:tr>
    </w:tbl>
    <w:p w:rsidR="001B5049" w:rsidRDefault="00177C7A" w:rsidP="005756F8">
      <w:pPr>
        <w:pStyle w:val="20"/>
        <w:shd w:val="clear" w:color="auto" w:fill="auto"/>
        <w:spacing w:after="0" w:line="240" w:lineRule="auto"/>
        <w:jc w:val="both"/>
      </w:pPr>
      <w:r>
        <w:rPr>
          <w:lang w:eastAsia="en-US"/>
        </w:rPr>
        <w:t xml:space="preserve"> </w:t>
      </w:r>
      <w:r w:rsidR="005756F8">
        <w:rPr>
          <w:lang w:eastAsia="en-US"/>
        </w:rPr>
        <w:t xml:space="preserve"> </w:t>
      </w:r>
    </w:p>
    <w:sectPr w:rsidR="001B5049" w:rsidSect="00CC57E3">
      <w:headerReference w:type="default" r:id="rId7"/>
      <w:pgSz w:w="11900" w:h="16840"/>
      <w:pgMar w:top="1134" w:right="567" w:bottom="28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ECC" w:rsidRDefault="007E5ECC" w:rsidP="00AD6DA9">
      <w:pPr>
        <w:spacing w:after="0" w:line="240" w:lineRule="auto"/>
      </w:pPr>
      <w:r>
        <w:separator/>
      </w:r>
    </w:p>
  </w:endnote>
  <w:endnote w:type="continuationSeparator" w:id="0">
    <w:p w:rsidR="007E5ECC" w:rsidRDefault="007E5ECC" w:rsidP="00AD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ECC" w:rsidRDefault="007E5ECC" w:rsidP="00AD6DA9">
      <w:pPr>
        <w:spacing w:after="0" w:line="240" w:lineRule="auto"/>
      </w:pPr>
      <w:r>
        <w:separator/>
      </w:r>
    </w:p>
  </w:footnote>
  <w:footnote w:type="continuationSeparator" w:id="0">
    <w:p w:rsidR="007E5ECC" w:rsidRDefault="007E5ECC" w:rsidP="00AD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876262"/>
      <w:docPartObj>
        <w:docPartGallery w:val="Page Numbers (Top of Page)"/>
        <w:docPartUnique/>
      </w:docPartObj>
    </w:sdtPr>
    <w:sdtEndPr/>
    <w:sdtContent>
      <w:p w:rsidR="006D1B70" w:rsidRDefault="007E5ECC">
        <w:pPr>
          <w:pStyle w:val="a4"/>
          <w:jc w:val="center"/>
        </w:pPr>
      </w:p>
      <w:p w:rsidR="006D1B70" w:rsidRDefault="006322AE">
        <w:pPr>
          <w:pStyle w:val="a4"/>
          <w:jc w:val="center"/>
        </w:pPr>
        <w:r>
          <w:fldChar w:fldCharType="begin"/>
        </w:r>
        <w:r w:rsidR="00322519">
          <w:instrText>PAGE   \* MERGEFORMAT</w:instrText>
        </w:r>
        <w:r>
          <w:fldChar w:fldCharType="separate"/>
        </w:r>
        <w:r w:rsidR="002F0D25">
          <w:rPr>
            <w:noProof/>
          </w:rPr>
          <w:t>2</w:t>
        </w:r>
        <w:r>
          <w:fldChar w:fldCharType="end"/>
        </w:r>
      </w:p>
    </w:sdtContent>
  </w:sdt>
  <w:p w:rsidR="006D1B70" w:rsidRDefault="007E5E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8056D"/>
    <w:multiLevelType w:val="hybridMultilevel"/>
    <w:tmpl w:val="B512170A"/>
    <w:lvl w:ilvl="0" w:tplc="174414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27F7AD6"/>
    <w:multiLevelType w:val="hybridMultilevel"/>
    <w:tmpl w:val="8B5E3F7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088D"/>
    <w:rsid w:val="00014807"/>
    <w:rsid w:val="00093221"/>
    <w:rsid w:val="000B236D"/>
    <w:rsid w:val="000B76B4"/>
    <w:rsid w:val="0012060D"/>
    <w:rsid w:val="00130557"/>
    <w:rsid w:val="00153361"/>
    <w:rsid w:val="00161A1B"/>
    <w:rsid w:val="00177C7A"/>
    <w:rsid w:val="001B5049"/>
    <w:rsid w:val="001D7F17"/>
    <w:rsid w:val="001E0024"/>
    <w:rsid w:val="001F496A"/>
    <w:rsid w:val="001F5545"/>
    <w:rsid w:val="001F7D33"/>
    <w:rsid w:val="00260649"/>
    <w:rsid w:val="002831FA"/>
    <w:rsid w:val="002D6272"/>
    <w:rsid w:val="002E5167"/>
    <w:rsid w:val="002F0D25"/>
    <w:rsid w:val="00322519"/>
    <w:rsid w:val="003B785B"/>
    <w:rsid w:val="003D272D"/>
    <w:rsid w:val="003D34E1"/>
    <w:rsid w:val="00415C82"/>
    <w:rsid w:val="004437BC"/>
    <w:rsid w:val="00457651"/>
    <w:rsid w:val="00481D72"/>
    <w:rsid w:val="004B085B"/>
    <w:rsid w:val="004C0CD8"/>
    <w:rsid w:val="004D3C2B"/>
    <w:rsid w:val="005240CD"/>
    <w:rsid w:val="005405B9"/>
    <w:rsid w:val="005756F8"/>
    <w:rsid w:val="005E11A3"/>
    <w:rsid w:val="005E16BF"/>
    <w:rsid w:val="006322AE"/>
    <w:rsid w:val="00644844"/>
    <w:rsid w:val="006914A2"/>
    <w:rsid w:val="006A37FF"/>
    <w:rsid w:val="006C0760"/>
    <w:rsid w:val="007B2B74"/>
    <w:rsid w:val="007C6568"/>
    <w:rsid w:val="007D7741"/>
    <w:rsid w:val="007E366A"/>
    <w:rsid w:val="007E5ECC"/>
    <w:rsid w:val="007F0775"/>
    <w:rsid w:val="007F30D4"/>
    <w:rsid w:val="007F40C7"/>
    <w:rsid w:val="008138F7"/>
    <w:rsid w:val="00840E8D"/>
    <w:rsid w:val="008F48C6"/>
    <w:rsid w:val="00950E4E"/>
    <w:rsid w:val="009627AA"/>
    <w:rsid w:val="00964C84"/>
    <w:rsid w:val="009B1867"/>
    <w:rsid w:val="009F16E0"/>
    <w:rsid w:val="00A178E3"/>
    <w:rsid w:val="00A358BC"/>
    <w:rsid w:val="00A37F15"/>
    <w:rsid w:val="00A50FE1"/>
    <w:rsid w:val="00A62475"/>
    <w:rsid w:val="00A84FA7"/>
    <w:rsid w:val="00AD6DA9"/>
    <w:rsid w:val="00AE555A"/>
    <w:rsid w:val="00AE63C3"/>
    <w:rsid w:val="00AF7DCA"/>
    <w:rsid w:val="00B10E5D"/>
    <w:rsid w:val="00B221FA"/>
    <w:rsid w:val="00B546EE"/>
    <w:rsid w:val="00B95991"/>
    <w:rsid w:val="00BD0647"/>
    <w:rsid w:val="00BD541E"/>
    <w:rsid w:val="00BE088D"/>
    <w:rsid w:val="00BE3239"/>
    <w:rsid w:val="00C10B29"/>
    <w:rsid w:val="00C53664"/>
    <w:rsid w:val="00C56229"/>
    <w:rsid w:val="00C86982"/>
    <w:rsid w:val="00CC57E3"/>
    <w:rsid w:val="00CC67ED"/>
    <w:rsid w:val="00CE1A83"/>
    <w:rsid w:val="00D22FD7"/>
    <w:rsid w:val="00D870D2"/>
    <w:rsid w:val="00DD2F38"/>
    <w:rsid w:val="00DE3147"/>
    <w:rsid w:val="00DF43D4"/>
    <w:rsid w:val="00E20705"/>
    <w:rsid w:val="00E731AE"/>
    <w:rsid w:val="00E838CB"/>
    <w:rsid w:val="00EB74A9"/>
    <w:rsid w:val="00EB7F5C"/>
    <w:rsid w:val="00F04093"/>
    <w:rsid w:val="00F2231D"/>
    <w:rsid w:val="00F22B71"/>
    <w:rsid w:val="00F96AD2"/>
    <w:rsid w:val="00FB4327"/>
    <w:rsid w:val="00FB7CEA"/>
    <w:rsid w:val="00FD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13F21-C8B5-473F-8029-E8142BC1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A9"/>
  </w:style>
  <w:style w:type="paragraph" w:styleId="5">
    <w:name w:val="heading 5"/>
    <w:basedOn w:val="a"/>
    <w:next w:val="a"/>
    <w:link w:val="50"/>
    <w:semiHidden/>
    <w:unhideWhenUsed/>
    <w:qFormat/>
    <w:rsid w:val="00BE088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08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088D"/>
    <w:pPr>
      <w:widowControl w:val="0"/>
      <w:shd w:val="clear" w:color="auto" w:fill="FFFFFF"/>
      <w:spacing w:after="240" w:line="331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BE088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88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5">
    <w:name w:val="Верхний колонтитул Знак"/>
    <w:basedOn w:val="a0"/>
    <w:link w:val="a4"/>
    <w:uiPriority w:val="99"/>
    <w:rsid w:val="00BE088D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50">
    <w:name w:val="Заголовок 5 Знак"/>
    <w:basedOn w:val="a0"/>
    <w:link w:val="5"/>
    <w:semiHidden/>
    <w:rsid w:val="00BE088D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14">
    <w:name w:val="Обычный + 14 пт"/>
    <w:aliases w:val="По ширине,Первая строка:  13 см"/>
    <w:basedOn w:val="a"/>
    <w:rsid w:val="00BE323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5700380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</dc:creator>
  <cp:keywords/>
  <dc:description/>
  <cp:lastModifiedBy>Admin</cp:lastModifiedBy>
  <cp:revision>31</cp:revision>
  <cp:lastPrinted>2019-02-13T07:56:00Z</cp:lastPrinted>
  <dcterms:created xsi:type="dcterms:W3CDTF">2018-12-29T06:09:00Z</dcterms:created>
  <dcterms:modified xsi:type="dcterms:W3CDTF">2019-03-26T12:07:00Z</dcterms:modified>
</cp:coreProperties>
</file>