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E82552" w:rsidRPr="00EC7776" w:rsidRDefault="006319BE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ИЗОБРАЗИТЕЛЬНОГО ИСКУССТВА «ЖИВОПИСЬ</w:t>
      </w:r>
      <w:r w:rsidR="00E82552"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»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ПО.01. </w:t>
      </w:r>
      <w:r w:rsidR="006319BE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ХУДОЖЕСТВЕННОЕ ТВОРЧЕСТВО</w:t>
      </w:r>
    </w:p>
    <w:p w:rsidR="00E82552" w:rsidRPr="00EC7776" w:rsidRDefault="00E82552" w:rsidP="00E82552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E82552" w:rsidRPr="00EC7776" w:rsidRDefault="007A5CBD" w:rsidP="00E82552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ПО.01.УП.02</w:t>
      </w:r>
      <w:r w:rsidR="00E82552"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.</w:t>
      </w: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ЖИВОПИСЬ</w:t>
      </w: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E82552" w:rsidRDefault="00E82552" w:rsidP="00E82552"/>
    <w:p w:rsidR="004F20AD" w:rsidRDefault="004F20AD" w:rsidP="00E82552"/>
    <w:p w:rsidR="004F20AD" w:rsidRDefault="004F20AD" w:rsidP="00E82552"/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7"/>
        <w:gridCol w:w="8785"/>
        <w:gridCol w:w="283"/>
      </w:tblGrid>
      <w:tr w:rsidR="004F20AD" w:rsidRPr="004F20AD" w:rsidTr="004F20AD">
        <w:tc>
          <w:tcPr>
            <w:tcW w:w="817" w:type="dxa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I.</w:t>
            </w:r>
          </w:p>
        </w:tc>
        <w:tc>
          <w:tcPr>
            <w:tcW w:w="8789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Пояснительная записка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c>
          <w:tcPr>
            <w:tcW w:w="817" w:type="dxa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II.</w:t>
            </w:r>
          </w:p>
        </w:tc>
        <w:tc>
          <w:tcPr>
            <w:tcW w:w="8789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Объем учебного времени, предусмотренный учебным планом образовательного учреждения на реализацию учебного предмета, сведения о затратах учебного времени, графике проведения промежуточной и итоговой аттестации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c>
          <w:tcPr>
            <w:tcW w:w="817" w:type="dxa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III.</w:t>
            </w:r>
          </w:p>
        </w:tc>
        <w:tc>
          <w:tcPr>
            <w:tcW w:w="8789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Учебно–тематический план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c>
          <w:tcPr>
            <w:tcW w:w="817" w:type="dxa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IV.</w:t>
            </w:r>
          </w:p>
        </w:tc>
        <w:tc>
          <w:tcPr>
            <w:tcW w:w="8789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Годовые требования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c>
          <w:tcPr>
            <w:tcW w:w="817" w:type="dxa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V.</w:t>
            </w:r>
          </w:p>
        </w:tc>
        <w:tc>
          <w:tcPr>
            <w:tcW w:w="8789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Требования к уровню подготовки </w:t>
            </w:r>
            <w:proofErr w:type="gramStart"/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обучающихся</w:t>
            </w:r>
            <w:proofErr w:type="gramEnd"/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c>
          <w:tcPr>
            <w:tcW w:w="817" w:type="dxa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VI.</w:t>
            </w:r>
          </w:p>
        </w:tc>
        <w:tc>
          <w:tcPr>
            <w:tcW w:w="8789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Формы и методы контроля, система оценок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c>
          <w:tcPr>
            <w:tcW w:w="817" w:type="dxa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VII.</w:t>
            </w:r>
          </w:p>
        </w:tc>
        <w:tc>
          <w:tcPr>
            <w:tcW w:w="8789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Методическое обеспечение учебного процесса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c>
          <w:tcPr>
            <w:tcW w:w="817" w:type="dxa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VIII.</w:t>
            </w:r>
          </w:p>
        </w:tc>
        <w:tc>
          <w:tcPr>
            <w:tcW w:w="8789" w:type="dxa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Список рекомендуемой литературы 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283" w:type="dxa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0AD" w:rsidRPr="004F20AD" w:rsidRDefault="004F20AD" w:rsidP="004F20AD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Пояснительная записка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 xml:space="preserve">Характеристика учебного предмета,  его место и роль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в образовательном процессе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Программа учебного предмета «Живопись» разработана на основе и с учетом федеральных государственных требований к дополнительным предпрофессиональным  программам в области изобразительного искусства «Живопись».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Содержание программы отвечает целям и задачам, указанным в федеральных государственных требованиях.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Программа строится на раскрытии нескольких ключевых тем. Содержание тем постепенно усложняется с каждым годом обучения.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Основу программы «Живопись» составляют цветовые отношения, строящиеся на цветовой гармонии, поэтому большая часть тем в данной программе отводится цветовым гармониям. Затем следуют темы «Фигура человека», «Гризайль», в старших классах - «Интерьер». 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Программа «Живопись» тесно связана с программами по рисунку, станковой композиции, с пленэром. В каждой из этих программ присутствуют взаимопроникающие элементы: в заданиях по академическому рисунку и станковой композиции обязательны требования к силуэтному решению формы предметов «от пятна», а в программе «Живопись» ставятся задачи композиционного решения листа, правильного построения предметов, выявления объема цветом, грамотного владения тоном, передачи световоздушной среды.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Срок реализации учебного предмета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Учебный предмет «Живопись» при 5 -летнем сроке обучения реализуется 5 – с 1 по 5 класс.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При реализации программы «Живопись» с 5 летним сроком обучения: аудиторные занятия в 1-5 классах – три часа, самостоятельная работа в 1-2 классах – два часа, в 3-5 классах – три часа.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Цель и задачи учебного предмета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Цель учебного предмета: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Целью учебного предмета «Живопись» является художественно-эстетическое развитие личности учащегося на основе приобретенных им в процессе освоения программы учебного предмета художественно-исполнительских и теоретических знаний, умений и навыков, а также выявление одаренных детей в области изобразительного искусства и подготовка их к поступлению в образовательные учреждения, реализующие основные профессиональные образовательные программы в области  изобразительного искусства.</w:t>
      </w:r>
      <w:proofErr w:type="gramEnd"/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Задачи учебного предмета: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– приобретение детьми знаний, умений и навыков по выполнению живописных работ, в том числе: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знаний свойств живописных материалов, их возможностей и эстетических качеств;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знаний разнообразных техник живописи;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знаний художественных и эстетических свой</w:t>
      </w:r>
      <w:proofErr w:type="gram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ств цв</w:t>
      </w:r>
      <w:proofErr w:type="gram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ета, основных закономерностей создания цветового строя;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умений видеть и передавать цветовые отношения в условиях пространственно-воздушной среды;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умений изображать объекты предметного мира, пространство, фигуру человека;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навыков в использовании основных техник и материалов;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навыков последовательного ведения живописной работы;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– 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изобразительного искусства.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Форма проведения учебных занятий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Занятия по предмету «Живопись» и проведение консультаций рекомендуется осуществлять в форме мелкогрупповых занятий (численностью от 4 до 10 человек). Рекомендуемая продолжительность уроков – 45 минут.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Занятия подразделяются на аудиторные занятия и самостоятельную работу.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Обоснование структуры программы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Helvetica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Helvetica" w:hAnsi="Times New Roman" w:cs="Times New Roman"/>
          <w:sz w:val="28"/>
          <w:szCs w:val="28"/>
          <w:lang w:eastAsia="ar-SA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Helvetica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Helvetica" w:hAnsi="Times New Roman" w:cs="Times New Roman"/>
          <w:sz w:val="28"/>
          <w:szCs w:val="28"/>
          <w:lang w:eastAsia="ar-SA"/>
        </w:rPr>
        <w:t>Программа содержит  следующие разделы: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сведения о затратах учебного времени, предусмотренного на освоение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учебного предмета;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распределение учебного материала по годам обучения;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описание дидактических единиц учебного предмета;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 xml:space="preserve">требования к уровню подготовки </w:t>
      </w:r>
      <w:proofErr w:type="gramStart"/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обучающихся</w:t>
      </w:r>
      <w:proofErr w:type="gramEnd"/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формы и методы контроля, система оценок;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методическое обеспечение учебного процесса.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Методы обучения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Helvetica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Helvetica" w:hAnsi="Times New Roman" w:cs="Times New Roman"/>
          <w:sz w:val="28"/>
          <w:szCs w:val="28"/>
          <w:lang w:eastAsia="ar-SA"/>
        </w:rPr>
        <w:t>Для достижения поставленной цели и реализации задач предмета используются следующие методы обучения: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словесный (объяснение, беседа, рассказ);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наглядный (показ, наблюдение, демонстрация приемов работы);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практический;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Calibri" w:eastAsia="Calibri" w:hAnsi="Calibri" w:cs="Calibri"/>
          <w:lang w:eastAsia="ar-SA"/>
        </w:rPr>
      </w:pPr>
      <w:r w:rsidRPr="004F20AD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эмоциональный (подбор ассоциаций, образов, художественные впечатления).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Calibri" w:eastAsia="Calibri" w:hAnsi="Calibri" w:cs="Calibri"/>
          <w:b/>
          <w:color w:val="00000A"/>
          <w:lang w:eastAsia="ar-SA"/>
        </w:rPr>
      </w:pPr>
      <w:r w:rsidRPr="004F20AD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</w:t>
      </w:r>
      <w:r w:rsidRPr="004F20AD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lastRenderedPageBreak/>
        <w:t>проверенных методиках и сложившихся традициях изобразительного творчества.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Описание материально-технических условий реализации учебного предмета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Каждый обучающийся обеспечивается доступом к библиотечным фондам и фондам аудио и видеозаписей школьной библиотеки.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Библиотечный фонд  укомплектовывается печатными и электронными изданиями основной и дополнительной учебной и учебно-методической литературой по изобразительному искусству, истории мировой культуры, художественными альбомами.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Мастерская по живописи должна быть оснащена натурными столами, мольбертами, компьютером, интерактивной доской, предметами натурного фонда.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Объем учебного времени, предусмотренный учебным планом образовательного учреждения на реализацию учебного предмета,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сведения о затратах учебного времени,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графике промежуточной и итоговой аттестации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 реализации программы «Живопись» с нормативным сроком обучения 5 лет общая трудоемкость учебного предмета «Живопись» составляет 924 часа (в том числе, 495 аудиторных часов, 429 часов самостоятельной работы).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Экзамены проводятся с первого по четвертый класс во втором полугодии. В остальное время видом промежуточной аттестации служит творческий просмотр (зачет).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67"/>
        <w:gridCol w:w="567"/>
        <w:gridCol w:w="709"/>
        <w:gridCol w:w="567"/>
        <w:gridCol w:w="708"/>
        <w:gridCol w:w="709"/>
        <w:gridCol w:w="709"/>
        <w:gridCol w:w="709"/>
        <w:gridCol w:w="708"/>
        <w:gridCol w:w="709"/>
        <w:gridCol w:w="1134"/>
      </w:tblGrid>
      <w:tr w:rsidR="004F20AD" w:rsidRPr="004F20AD" w:rsidTr="004F20AD">
        <w:trPr>
          <w:trHeight w:val="55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учебной работы, аттестации, учебной нагрузки</w:t>
            </w:r>
          </w:p>
        </w:tc>
        <w:tc>
          <w:tcPr>
            <w:tcW w:w="6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Затраты учебного времени,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график промежуточной аттестации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Всего часов</w:t>
            </w:r>
          </w:p>
        </w:tc>
      </w:tr>
      <w:tr w:rsidR="004F20AD" w:rsidRPr="004F20AD" w:rsidTr="004F20AD">
        <w:trPr>
          <w:trHeight w:val="30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Классы/полугодия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rPr>
          <w:trHeight w:val="28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rPr>
          <w:trHeight w:val="35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rPr>
          <w:trHeight w:val="4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Аудиторные занятия (в часах)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495</w:t>
            </w:r>
          </w:p>
        </w:tc>
      </w:tr>
      <w:tr w:rsidR="004F20AD" w:rsidRPr="004F20AD" w:rsidTr="004F20AD">
        <w:trPr>
          <w:trHeight w:val="137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Самостоятельная работа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(домашнее практическое задание, в часах)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429</w:t>
            </w:r>
          </w:p>
        </w:tc>
      </w:tr>
      <w:tr w:rsidR="004F20AD" w:rsidRPr="004F20AD" w:rsidTr="004F20AD">
        <w:trPr>
          <w:cantSplit/>
          <w:trHeight w:val="11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промежуточной аттестации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экзамен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экзамен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экзамен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экзамен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F20AD" w:rsidRPr="004F20AD" w:rsidTr="004F20AD">
        <w:trPr>
          <w:trHeight w:val="88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Максимальная учебная нагрузка (в часах)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924</w:t>
            </w:r>
          </w:p>
        </w:tc>
      </w:tr>
    </w:tbl>
    <w:p w:rsidR="004F20AD" w:rsidRPr="004F20AD" w:rsidRDefault="004F20AD" w:rsidP="004F20AD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Учебно-тематический план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 данной программе предложен пример учебно-тематического плана с объемом часов, соответствующим объему, предложенному при реализации предпрофессиональной программы «Живопись» с нормативным сроком обучения 5 лет.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Первый год обучения</w:t>
      </w: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447"/>
        <w:gridCol w:w="1123"/>
        <w:gridCol w:w="1280"/>
        <w:gridCol w:w="1245"/>
        <w:gridCol w:w="1077"/>
      </w:tblGrid>
      <w:tr w:rsidR="004F20AD" w:rsidRPr="004F20AD" w:rsidTr="004F20AD">
        <w:trPr>
          <w:cantSplit/>
          <w:trHeight w:val="2631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Наименование темы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учебного занятия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Максимальная учебная нагрузка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Задание для самостоятельной работы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Аудиторное задание</w:t>
            </w:r>
          </w:p>
        </w:tc>
      </w:tr>
      <w:tr w:rsidR="004F20AD" w:rsidRPr="004F20AD" w:rsidTr="004F20AD">
        <w:trPr>
          <w:trHeight w:val="361"/>
        </w:trPr>
        <w:tc>
          <w:tcPr>
            <w:tcW w:w="9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I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полугодие</w:t>
            </w:r>
          </w:p>
        </w:tc>
      </w:tr>
      <w:tr w:rsidR="004F20AD" w:rsidRPr="004F20AD" w:rsidTr="004F20AD">
        <w:trPr>
          <w:trHeight w:val="244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Характеристика цвета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322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Характеристика цвета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527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Характеристика цвета. Три основных свойства цвета.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284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Приемы работы с акварелью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29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Приемы работы с акварелью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226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Приемы работы с акварелью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289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Нюанс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607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Световой контраст (ахроматический контраст)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27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Цветовая гармония. Полярная гармония.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</w:t>
            </w:r>
            <w:proofErr w:type="gramEnd"/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14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Трехцветная и многоцветная гармония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319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Гармония по общему цветовому тону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346"/>
        </w:trPr>
        <w:tc>
          <w:tcPr>
            <w:tcW w:w="9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II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полугодие</w:t>
            </w:r>
          </w:p>
        </w:tc>
      </w:tr>
      <w:tr w:rsidR="004F20AD" w:rsidRPr="004F20AD" w:rsidTr="004F20AD">
        <w:trPr>
          <w:trHeight w:val="37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29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Гармония по общему цветовому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тону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244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Цветовой контраст (хроматический)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354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Цветовой контраст (хроматический)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53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Контрастная гармония (на насыщенных цветах)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20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368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Фигура человека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</w:tbl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Второй год обучения</w:t>
      </w: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556"/>
        <w:gridCol w:w="1094"/>
        <w:gridCol w:w="1275"/>
        <w:gridCol w:w="1275"/>
        <w:gridCol w:w="1153"/>
      </w:tblGrid>
      <w:tr w:rsidR="004F20AD" w:rsidRPr="004F20AD" w:rsidTr="004F20AD">
        <w:trPr>
          <w:trHeight w:val="2030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Наименование темы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учебного занятия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Максимальная учебная нагрузка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Задание для самостоятельной работы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Аудиторное задание</w:t>
            </w:r>
          </w:p>
        </w:tc>
      </w:tr>
      <w:tr w:rsidR="004F20AD" w:rsidRPr="004F20AD" w:rsidTr="004F20AD">
        <w:trPr>
          <w:trHeight w:val="325"/>
        </w:trPr>
        <w:tc>
          <w:tcPr>
            <w:tcW w:w="98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I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полугодие</w:t>
            </w:r>
          </w:p>
        </w:tc>
      </w:tr>
      <w:tr w:rsidR="004F20AD" w:rsidRPr="004F20AD" w:rsidTr="004F20AD">
        <w:trPr>
          <w:trHeight w:val="254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527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Контрастная гармония (на ненасыщенных цветах)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53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Гармония по общему цветовому тону и насыщенности (на насыщенных цветах)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30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насыщенности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2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Контрастная гармония 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52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Световой контраст (ахроматический). Гризайль.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258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светлоте и насыщенности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437"/>
        </w:trPr>
        <w:tc>
          <w:tcPr>
            <w:tcW w:w="98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II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полугодие</w:t>
            </w:r>
          </w:p>
        </w:tc>
      </w:tr>
      <w:tr w:rsidR="004F20AD" w:rsidRPr="004F20AD" w:rsidTr="004F20AD">
        <w:trPr>
          <w:trHeight w:val="304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Фигура человека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312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192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насыщенности и светлоте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256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Гармония по общему цветовому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тону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454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Гармония по общему цветовому тону. Нюанс. 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</w:t>
            </w:r>
            <w:proofErr w:type="gramEnd"/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403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насыщенности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504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Гармония по общему цветовому тону и светлоте  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</w:tbl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Третий год обучения</w:t>
      </w:r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490"/>
        <w:gridCol w:w="1080"/>
        <w:gridCol w:w="1258"/>
        <w:gridCol w:w="1258"/>
        <w:gridCol w:w="1085"/>
      </w:tblGrid>
      <w:tr w:rsidR="004F20AD" w:rsidRPr="004F20AD" w:rsidTr="004F20AD">
        <w:trPr>
          <w:trHeight w:val="2147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Наименование темы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учебного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Максимальная учебная нагрузка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Задание для самостоятельной работы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Аудиторное задание</w:t>
            </w:r>
          </w:p>
        </w:tc>
      </w:tr>
      <w:tr w:rsidR="004F20AD" w:rsidRPr="004F20AD" w:rsidTr="004F20AD">
        <w:trPr>
          <w:trHeight w:val="348"/>
        </w:trPr>
        <w:tc>
          <w:tcPr>
            <w:tcW w:w="9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I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полугодие</w:t>
            </w:r>
          </w:p>
        </w:tc>
      </w:tr>
      <w:tr w:rsidR="004F20AD" w:rsidRPr="004F20AD" w:rsidTr="004F20AD">
        <w:trPr>
          <w:trHeight w:val="449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Контрастная гармония (на насыщенных цветах)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44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 и светлоте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589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Контрастная гармония (на насыщенных цветах)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  <w:tr w:rsidR="004F20AD" w:rsidRPr="004F20AD" w:rsidTr="004F20AD">
        <w:trPr>
          <w:trHeight w:val="238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Фигура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4F20AD" w:rsidRPr="004F20AD" w:rsidTr="004F20AD">
        <w:trPr>
          <w:trHeight w:val="826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Гармония по общему цветовому тону и насыщенности   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(на ненасыщенных цветах)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</w:tr>
      <w:tr w:rsidR="004F20AD" w:rsidRPr="004F20AD" w:rsidTr="004F20AD">
        <w:trPr>
          <w:trHeight w:val="474"/>
        </w:trPr>
        <w:tc>
          <w:tcPr>
            <w:tcW w:w="9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II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полугодие</w:t>
            </w:r>
          </w:p>
        </w:tc>
      </w:tr>
      <w:tr w:rsidR="004F20AD" w:rsidRPr="004F20AD" w:rsidTr="004F20AD">
        <w:trPr>
          <w:trHeight w:val="306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  <w:tr w:rsidR="004F20AD" w:rsidRPr="004F20AD" w:rsidTr="004F20AD">
        <w:trPr>
          <w:trHeight w:val="501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Контрастная гармония на ненасыщенных цветах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457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 и светлоте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  <w:tr w:rsidR="004F20AD" w:rsidRPr="004F20AD" w:rsidTr="004F20AD">
        <w:trPr>
          <w:trHeight w:val="199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светлоте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</w:tbl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Четвертый год обучения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4490"/>
        <w:gridCol w:w="1079"/>
        <w:gridCol w:w="1259"/>
        <w:gridCol w:w="1259"/>
        <w:gridCol w:w="903"/>
      </w:tblGrid>
      <w:tr w:rsidR="004F20AD" w:rsidRPr="004F20AD" w:rsidTr="004F20AD">
        <w:trPr>
          <w:trHeight w:val="199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Наименование темы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учебного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Максимальная учебная нагрузка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Задание для самостоятельной работы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Аудиторное задание</w:t>
            </w:r>
          </w:p>
        </w:tc>
      </w:tr>
      <w:tr w:rsidR="004F20AD" w:rsidRPr="004F20AD" w:rsidTr="004F20AD">
        <w:trPr>
          <w:trHeight w:val="394"/>
        </w:trPr>
        <w:tc>
          <w:tcPr>
            <w:tcW w:w="9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I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полугодие</w:t>
            </w:r>
          </w:p>
        </w:tc>
      </w:tr>
      <w:tr w:rsidR="004F20AD" w:rsidRPr="004F20AD" w:rsidTr="004F20AD">
        <w:trPr>
          <w:trHeight w:val="569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Контрастная гармония 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(на насыщенных цветах)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  <w:tr w:rsidR="004F20AD" w:rsidRPr="004F20AD" w:rsidTr="004F20AD">
        <w:trPr>
          <w:trHeight w:val="82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Гармония по общему цветовому тону и насыщенности 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(на ненасыщенных цветах)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556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 и светлоте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27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430"/>
        </w:trPr>
        <w:tc>
          <w:tcPr>
            <w:tcW w:w="9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II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полугодие</w:t>
            </w:r>
          </w:p>
        </w:tc>
      </w:tr>
      <w:tr w:rsidR="004F20AD" w:rsidRPr="004F20AD" w:rsidTr="004F20AD">
        <w:trPr>
          <w:trHeight w:val="826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Гармония по общему цветовому тону и насыщенности 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(на ненасыщенных цветах)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28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насыщенности и светлоте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278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Нюансная гармония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28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Фигура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</w:tbl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Пятый год обучения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4496"/>
        <w:gridCol w:w="1080"/>
        <w:gridCol w:w="1260"/>
        <w:gridCol w:w="1260"/>
        <w:gridCol w:w="900"/>
      </w:tblGrid>
      <w:tr w:rsidR="004F20AD" w:rsidRPr="004F20AD" w:rsidTr="004F20AD">
        <w:trPr>
          <w:trHeight w:val="1778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Наименование темы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учебного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Максимальная учебная нагрузка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Задание для самостоятельной работы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Аудиторное задание</w:t>
            </w:r>
          </w:p>
        </w:tc>
      </w:tr>
      <w:tr w:rsidR="004F20AD" w:rsidRPr="004F20AD" w:rsidTr="004F20AD">
        <w:trPr>
          <w:trHeight w:val="331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 xml:space="preserve">I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полугодие</w:t>
            </w:r>
          </w:p>
        </w:tc>
      </w:tr>
      <w:tr w:rsidR="004F20AD" w:rsidRPr="004F20AD" w:rsidTr="004F20AD">
        <w:trPr>
          <w:trHeight w:val="551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тону, по насыщенности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386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Нюансная гармония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314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насыщенности и светлоте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308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Интерьер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  <w:tr w:rsidR="004F20AD" w:rsidRPr="004F20AD" w:rsidTr="004F20AD">
        <w:trPr>
          <w:trHeight w:val="347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lastRenderedPageBreak/>
              <w:t xml:space="preserve">II </w:t>
            </w: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полугодие</w:t>
            </w:r>
          </w:p>
        </w:tc>
      </w:tr>
      <w:tr w:rsidR="004F20AD" w:rsidRPr="004F20AD" w:rsidTr="004F20AD">
        <w:trPr>
          <w:trHeight w:val="343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551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 тону и насыщенности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</w:tr>
      <w:tr w:rsidR="004F20AD" w:rsidRPr="004F20AD" w:rsidTr="004F20AD">
        <w:trPr>
          <w:trHeight w:val="32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Фигура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4F20AD" w:rsidRPr="004F20AD" w:rsidTr="004F20AD">
        <w:trPr>
          <w:trHeight w:val="551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тону и светлоте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  <w:tr w:rsidR="004F20AD" w:rsidRPr="004F20AD" w:rsidTr="004F20AD">
        <w:trPr>
          <w:trHeight w:val="551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Гармония по общему цветовому</w:t>
            </w:r>
          </w:p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тону и насыщенности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0AD" w:rsidRPr="004F20AD" w:rsidRDefault="004F20AD" w:rsidP="004F20AD">
            <w:pPr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F20A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</w:tbl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Годовые требования.</w:t>
      </w:r>
    </w:p>
    <w:p w:rsidR="004F20AD" w:rsidRPr="004F20AD" w:rsidRDefault="004F20AD" w:rsidP="004F20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В первые годы обучения задания даются на построение простых гармоний, в основном контрастных, с применением насыщенных цветов. Для того чтобы работы были более эмоциональными, редко используется черный цвет. </w:t>
      </w:r>
    </w:p>
    <w:p w:rsidR="004F20AD" w:rsidRPr="004F20AD" w:rsidRDefault="004F20AD" w:rsidP="004F20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старших классах цветовые гармонии разнообразнее. Они построены на нюансах, светлоте, со сложным колоритом. Фигура человека, натюрморт связываются со станковой композицией.  </w:t>
      </w:r>
    </w:p>
    <w:p w:rsidR="004F20AD" w:rsidRPr="004F20AD" w:rsidRDefault="004F20AD" w:rsidP="004F20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Задания первого класса знакомят учащихся с основами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цветоведения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со свойствами живописных материалов, приемами работы с акварелью. Учащиеся получают знания и навыки ведения последовательной работы над натюрмортом, начиная с композиции, конструктивного построения предметов, поиска цветовых отношений между предметами, предметами и фоном, первоначальные навыки построения цветовой гармонии. </w:t>
      </w:r>
    </w:p>
    <w:p w:rsidR="004F20AD" w:rsidRPr="004F20AD" w:rsidRDefault="004F20AD" w:rsidP="004F20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Во втором классе учащиеся углубляют знания о цвете, цветовой гармонии, влиянии среды и освещения, приобретают навыки в передаче фактуры предметов с выявлением их объемной формы.</w:t>
      </w:r>
    </w:p>
    <w:p w:rsidR="004F20AD" w:rsidRPr="004F20AD" w:rsidRDefault="004F20AD" w:rsidP="004F20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В третьем классе постановки усложняются, вводятся более сложные по форме предметы. Задания даются на решения тонального и колористического решения, передачу материальности и пространства, построения более сложной цветовой гармонии. </w:t>
      </w:r>
    </w:p>
    <w:p w:rsidR="004F20AD" w:rsidRPr="004F20AD" w:rsidRDefault="004F20AD" w:rsidP="004F20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В четвертом классе натюрморты ставятся с ясно выраженным тематическим характером, углубляются знания о цветовой гармонии,  тональности и колористическом решении, решение пространства и цельности.</w:t>
      </w:r>
    </w:p>
    <w:p w:rsidR="004F20AD" w:rsidRPr="004F20AD" w:rsidRDefault="004F20AD" w:rsidP="004F20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В пятом классе углубляются и закрепляются знания и умения последовательно и продолжительно вести работу над постановкой. Ставятся основные задачи академической живописи: передать точные цветовые отношения, построить сложную цветовую гармонию, глубину в натюрморте, форму, объем и фактуру предметов. </w:t>
      </w:r>
    </w:p>
    <w:p w:rsidR="004F20AD" w:rsidRPr="004F20AD" w:rsidRDefault="004F20AD" w:rsidP="004F20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4. Требования к уровню подготовки </w:t>
      </w:r>
      <w:proofErr w:type="gramStart"/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обучающихся</w:t>
      </w:r>
      <w:proofErr w:type="gramEnd"/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Результатом освоения программы «Живопись» является приобретение обучающимися следующих знаний, умений и навыков: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знание свойств живописных материалов, их возможностей и эстетических качеств,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знание художественных и эстетических свой</w:t>
      </w:r>
      <w:proofErr w:type="gram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ств цв</w:t>
      </w:r>
      <w:proofErr w:type="gram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ета, основных закономерностей, создания цветового строя;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умение видеть и передавать цветовые отношения в условиях пространственно-воздушной среды;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умение изображать объекты предметного мира, пространство, фигуру человека;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умение раскрывать образное и живописно-пластическое решение в творческих работах;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навыки в использовании основных техник и материалов;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навыки последовательного ведения живописной работы.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Требования к экзамену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Экзамен рекомендуется проводить в виде самостоятельной работы учащегося над натюрмортом. Выполняется этюд постановки акварелью на формате А3 в течение 4 учебных часов. В первых-вторых классах натюрморт состоит из простых по форме предметов (2-3 предмета и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однотоновая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драпировка), в третьих-четвертых классах – комбинированных по форме, различных по материалу предметов (3-4 предмета и богатые по цвету и декору драпировки).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Для успешного выполнения задания и получения наивысшей оценки учащийся должен: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расположить предметы в листе;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точно передать пропорции предметов;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поставить предметы на плоскость;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правильно строить цветовые гармонии;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умело использовать приемы работы с акварелью;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передать с помощью цвета объем предметов, пространство и материальность;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добиться цельности в изображении натюрморта.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numPr>
          <w:ilvl w:val="0"/>
          <w:numId w:val="4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Формы и методы контроля, система оценок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Аттестация: цели, виды, форма, содержание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Текущий контроль успеваемости обучающихся проводится в счет аудиторного времени, предусмотренного на учебный предмет в виде </w:t>
      </w:r>
      <w:r w:rsidRPr="004F20AD"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проверки самостоятельной работы обучающегося, обсуждения этапов работы над композицией, выставления оценок и пр. Преподаватель имеет возможность по своему усмотрению проводить промежуточные просмотры по разделам программы.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numPr>
          <w:ilvl w:val="0"/>
          <w:numId w:val="4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lastRenderedPageBreak/>
        <w:t>Формы промежуточной аттестации: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зачет – творческий просмотр (проводится в счет аудиторного времени);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экзамен - творческий просмотр (проводится во внеаудиторное время).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Промежуточный контроль успеваемости </w:t>
      </w:r>
      <w:proofErr w:type="gram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проводится в счет аудиторного времени, предусмотренного на учебный предмет в виде творческого просмотра по окончании первого полугодия. Оценки ученикам могут выставляться и по окончании четверти. Преподаватель имеет возможность по своему усмотрению проводить промежуточные просмотры по разделам программы (текущий контроль).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При оценивании работ учащихся учитывается уровень следующих умений и навыков: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1 год обучения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компоновать изображение в листе;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локальный цвет;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цветовые и  тональные отношения предметов к фону;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основные пропорции и силуэт простых предметов;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материальность простых гладких и шершавых поверхностей;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2 год обучения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компоновать группу взаимосвязанных предметов;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оттенки локального цвета;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цветовые и тональные отношения между предметами;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пропорции и объем простых предметов;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материальность простых мягких и зеркально-прозрачных поверхностей.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3 год обучения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компоновать сложные натюрморты;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строить цветовые гармонии;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световоздушную среду и особенности освещения;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пропорции и объем предметов в пространстве, плановость;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материальность различных фактур во взаимосвязи;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4 год обучения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компоновать объекты в интерьере;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строить цветовые гармонии;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нюансы светотеневых отношений;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пропорции и объем сложных предметов;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материальность сложных гладких и шершавых поверхностей;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5 год обучения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передавать цельность и законченность в работе;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строить сложные цветовые гармонии;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сложные светотеневые отношения;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грамотно передавать пропорции и объем предметов в интерьере;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- грамотно передавать материальность сложных мягких и зеркально-прозрачных поверхностей;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7. Методическое обеспечение учебного процесса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Методические рекомендации преподавателям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Предложенные в настоящей программе темы заданий по живописи следует рассматривать как рекомендательные. Обучение построено, в основном, на рисовании с натуры натюрмортов, которые необходимо ставить, руководствуясь принципами цветовой гармонии. Задания предусматривают наличие богатого натурного фонда, большого иллюстративного материала.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Программа предлагает следующую схему этапов выполнения заданий по живописи: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1. Анализ цветового строя натюрморта.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2. Анализ натюрмортов с подобным цветовым решением у художников-классиков.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3. Выбор техники исполнения.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4. Варианты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цветотональных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эскизов с разным композиционным решением.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5. Выполнение картона.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6. Выполнение работы на формате в материале.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Работа, как правило, ведется акварельными красками. </w:t>
      </w: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Техника исполнения и формат работы  обсуждается с преподавателем.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Для лучшего усвоения материала программой предусмотрены занятия для самостоятельного обучения, которые включают в себя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- посещение выставок;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- поиск необходимого материала в сетевых ресурсах;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 xml:space="preserve"> - чтение дополнительной литературы;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- выполнение кратковременных этюдов в домашних условиях;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- посильное копирование шедевров мирового искусства;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- выполнение аудиторных заданий по памяти.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Средства обучения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материальные: учебные аудитории, специально оборудованные наглядными пособиями, мебелью, натюрмортным фондом;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 наглядно-плоскостные: наглядные методические пособия, карты, плакаты, фонд работ учащихся, настенные иллюстрации, магнитные доски;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демонстрационные: муляжи, чучела птиц и животных, гербарии, демонстрационные модели, натюрмортный фонд;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- электронные образовательные ресурсы: мультимедийные учебники, мультимедийные универсальные энциклопедии, сетевые образовательные ресурсы;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 аудиовизуальные: </w:t>
      </w:r>
      <w:proofErr w:type="gram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слайд-фильмы</w:t>
      </w:r>
      <w:proofErr w:type="gram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, видеофильмы, учебные кинофильмы, аудио записи.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8. Список рекомендуемой литературы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Методическая литература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Алексеев С.О.  О колорите. - М., 1974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Анциферов В.Г., Анциферова Л.Г.,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Кисляковская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Т.Н. и др. Рисунок, живопись, станковая композиция, основы графического дизайна. Примерные программы для ДХШ и изобразительных отделений ДШИ. – М., 2003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Беда Г.В. Живопись. - М., 1986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Бесчастнов Н.П., Кулаков В.Я.,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Стор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И.Н. Живопись: Учебное пособие. М.: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Владос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2004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Все о технике: цвет. Справочник для художников.  - М.: Арт-Родник, 2002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Все о технике: живопись акварелью. Справочник для художников.  - М.: Арт-Родник, 2004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Волков И.П. Приобщение школьников к творчеству: из опыта работы. – М.: Просвещение,  1992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Волков Н.Н. Композиция в живописи. - М., 1977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Волков Н.Н. Цвет в живописи. М.: Искусство, 1985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Выготский Л.С. Воображение и творчество в детском возрасте. СПб: СОЮЗ, 1997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Елизаров В.Е. Примерная программа для ДХШ и изобразительных отделений ДШИ. – М., 2008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Зайцев А.С. Наука о цвете и живопись. – М.: Искусство, 1986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Кирцер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Ю.М. Рисунок и живопись. – М.: Высшая школа, 1992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lastRenderedPageBreak/>
        <w:t>Люшер</w:t>
      </w:r>
      <w:proofErr w:type="spellEnd"/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М. </w:t>
      </w:r>
      <w:r w:rsidRPr="004F20A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Магия</w:t>
      </w: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4F20A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цвета</w:t>
      </w: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. </w:t>
      </w:r>
      <w:r w:rsidRPr="004F20A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Харьков</w:t>
      </w: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: </w:t>
      </w:r>
      <w:r w:rsidRPr="004F20A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АО</w:t>
      </w: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“</w:t>
      </w:r>
      <w:r w:rsidRPr="004F20A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СФЕРА</w:t>
      </w:r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”; “</w:t>
      </w:r>
      <w:proofErr w:type="spellStart"/>
      <w:r w:rsidRPr="004F20A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Сварог</w:t>
      </w:r>
      <w:proofErr w:type="spellEnd"/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”, </w:t>
      </w:r>
      <w:r w:rsidRPr="004F20A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1996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4F20A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</w:t>
      </w: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аранюшкин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Р.А.,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Хандова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Г.Н.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Цветоведение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для художников: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колористика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– Ростов н/д: Феникс, 2007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Проненко Г.Н. Живопись. Примерная программа для ДХШ и изобразительных отделений ДШИ. – М., 2003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Психология цвета. - Сб. пер. с англ. М.: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Рефл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-бук,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Ваклер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, 1996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Смирнов Г. Б. Живопись. Учебное пособие. М.: Просвещение, 1975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Шорохов Е.В. Методика преподавания композиции на уроках изобразительного искусства в школе. Пособие для учителей. – М.: Просвещение, 1974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Учебная литература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Школа изобразительного искусства в десяти выпусках. М.: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Изобраз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искусство, 1986: №1, 1988: №2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Сокольникова Н.М. Основы композиции. – Обнинск: Титул, 1996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Сокольникова Н.М. Изобразительное искусство. Часть 2. Основы живописи. – Обнинск: Титул, - 1996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Сокольникова Н.М. Художники. Книги. Дети. – М.: Конец века, 1997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Харрисон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Х. Энциклопедия акварельных техник. – АСТ, 2005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Яшухин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А.П. Живопись. - М.: Просвещение, 1985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Яшухин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А. П., Ломов С. П. Живопись. М.: Рандеву – АМ, </w:t>
      </w:r>
      <w:proofErr w:type="spellStart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Агар</w:t>
      </w:r>
      <w:proofErr w:type="spellEnd"/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1999 </w:t>
      </w:r>
    </w:p>
    <w:p w:rsidR="004F20AD" w:rsidRPr="004F20AD" w:rsidRDefault="004F20AD" w:rsidP="004F20A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F20AD">
        <w:rPr>
          <w:rFonts w:ascii="Times New Roman" w:eastAsia="Calibri" w:hAnsi="Times New Roman" w:cs="Times New Roman"/>
          <w:sz w:val="28"/>
          <w:szCs w:val="28"/>
          <w:lang w:eastAsia="ar-SA"/>
        </w:rPr>
        <w:t>Кальнинг А. К. Акварельная живопись. – М., 1968</w:t>
      </w:r>
    </w:p>
    <w:p w:rsidR="004F20AD" w:rsidRDefault="004F20AD" w:rsidP="004F20AD">
      <w:proofErr w:type="spellStart"/>
      <w:r w:rsidRPr="004F20A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Унковский</w:t>
      </w:r>
      <w:proofErr w:type="spellEnd"/>
      <w:r w:rsidRPr="004F2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Живопись.</w:t>
      </w:r>
      <w:bookmarkStart w:id="0" w:name="_GoBack"/>
      <w:bookmarkEnd w:id="0"/>
    </w:p>
    <w:p w:rsidR="004A3B39" w:rsidRDefault="004A3B39"/>
    <w:p w:rsidR="00E82552" w:rsidRDefault="00E82552"/>
    <w:sectPr w:rsidR="00E82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eza Pro">
    <w:altName w:val="Times New Roman"/>
    <w:charset w:val="CC"/>
    <w:family w:val="auto"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C45D4"/>
    <w:multiLevelType w:val="hybridMultilevel"/>
    <w:tmpl w:val="128C0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04DBA"/>
    <w:multiLevelType w:val="hybridMultilevel"/>
    <w:tmpl w:val="3A8C70F0"/>
    <w:lvl w:ilvl="0" w:tplc="8724F8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52C"/>
    <w:rsid w:val="004A3B39"/>
    <w:rsid w:val="004F20AD"/>
    <w:rsid w:val="006319BE"/>
    <w:rsid w:val="0078752C"/>
    <w:rsid w:val="007A5CBD"/>
    <w:rsid w:val="00E8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55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4F20AD"/>
  </w:style>
  <w:style w:type="paragraph" w:styleId="a5">
    <w:name w:val="No Spacing"/>
    <w:qFormat/>
    <w:rsid w:val="004F20A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a6">
    <w:name w:val="Table Grid"/>
    <w:basedOn w:val="a1"/>
    <w:rsid w:val="004F20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qFormat/>
    <w:rsid w:val="004F20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55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4F20AD"/>
  </w:style>
  <w:style w:type="paragraph" w:styleId="a5">
    <w:name w:val="No Spacing"/>
    <w:qFormat/>
    <w:rsid w:val="004F20A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a6">
    <w:name w:val="Table Grid"/>
    <w:basedOn w:val="a1"/>
    <w:rsid w:val="004F20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qFormat/>
    <w:rsid w:val="004F20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5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3174</Words>
  <Characters>18095</Characters>
  <Application>Microsoft Office Word</Application>
  <DocSecurity>0</DocSecurity>
  <Lines>150</Lines>
  <Paragraphs>42</Paragraphs>
  <ScaleCrop>false</ScaleCrop>
  <Company/>
  <LinksUpToDate>false</LinksUpToDate>
  <CharactersWithSpaces>21227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5</cp:revision>
  <dcterms:created xsi:type="dcterms:W3CDTF">2026-08-28T14:23:00Z</dcterms:created>
  <dcterms:modified xsi:type="dcterms:W3CDTF">2026-10-14T07:57:00Z</dcterms:modified>
</cp:coreProperties>
</file>