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F76" w:rsidRPr="009E3F76" w:rsidRDefault="009E3F76" w:rsidP="009E3F76">
      <w:pPr>
        <w:spacing w:after="150" w:line="240" w:lineRule="auto"/>
        <w:outlineLvl w:val="0"/>
        <w:rPr>
          <w:rFonts w:ascii="Times New Roman" w:eastAsia="Times New Roman" w:hAnsi="Times New Roman" w:cs="Times New Roman"/>
          <w:color w:val="00493E"/>
          <w:kern w:val="36"/>
          <w:sz w:val="36"/>
          <w:szCs w:val="36"/>
          <w:lang w:eastAsia="ru-RU"/>
        </w:rPr>
      </w:pPr>
      <w:r w:rsidRPr="009E3F76">
        <w:rPr>
          <w:rFonts w:ascii="Times New Roman" w:eastAsia="Times New Roman" w:hAnsi="Times New Roman" w:cs="Times New Roman"/>
          <w:color w:val="00493E"/>
          <w:kern w:val="36"/>
          <w:sz w:val="36"/>
          <w:szCs w:val="36"/>
          <w:lang w:eastAsia="ru-RU"/>
        </w:rPr>
        <w:t>Игры для гиперактивных детей</w:t>
      </w:r>
    </w:p>
    <w:p w:rsidR="009E3F76" w:rsidRPr="009E3F76" w:rsidRDefault="009E3F76" w:rsidP="009E3F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76">
        <w:rPr>
          <w:rFonts w:ascii="Times New Roman" w:eastAsia="Times New Roman" w:hAnsi="Times New Roman" w:cs="Times New Roman"/>
          <w:noProof/>
          <w:color w:val="006FB2"/>
          <w:sz w:val="24"/>
          <w:szCs w:val="24"/>
          <w:lang w:eastAsia="ru-RU"/>
        </w:rPr>
        <w:drawing>
          <wp:inline distT="0" distB="0" distL="0" distR="0" wp14:anchorId="3E84F741" wp14:editId="15020C10">
            <wp:extent cx="3810000" cy="2971800"/>
            <wp:effectExtent l="0" t="0" r="0" b="0"/>
            <wp:docPr id="1" name="Рисунок 1" descr="http://psychologvdou.ucoz.com/_si/0/s85844312.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chologvdou.ucoz.com/_si/0/s85844312.jpg">
                      <a:hlinkClick r:id="rId4" tgtFrame="&quot;_blank&quot;" tooltip="&quot;Нажмите, для просмотра в полном размере...&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971800"/>
                    </a:xfrm>
                    <a:prstGeom prst="rect">
                      <a:avLst/>
                    </a:prstGeom>
                    <a:noFill/>
                    <a:ln>
                      <a:noFill/>
                    </a:ln>
                  </pic:spPr>
                </pic:pic>
              </a:graphicData>
            </a:graphic>
          </wp:inline>
        </w:drawing>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Подбирая игры (особенно подвижные) для гиперактивных детей, необходимо учитывать следующие особенности таких детей: дефицит внимания, импульсивность, очень высокую активность, а также неумение длительное время подчиняться групповым правилам, выслушивать и выполнять инструкции (заострять внимание на деталях), быструю утомляемость. В игре им трудно дожидаться своей очереди и считаться с интересами других. Поэтому включать таких детей в коллективную работу целесообразно поэтапно. Начинать можно с индивидуальной работы, затем привлекать ребенка к играм в малых подгруппах и только после этого переходить к коллективным играм. Желательно использовать игры с четкими правилами, способствующие развитию внимания.</w:t>
      </w:r>
    </w:p>
    <w:p w:rsidR="009E3F76" w:rsidRPr="009E3F76" w:rsidRDefault="009E3F76" w:rsidP="009E3F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4"/>
          <w:szCs w:val="24"/>
          <w:lang w:eastAsia="ru-RU"/>
        </w:rPr>
        <w:t> </w:t>
      </w:r>
    </w:p>
    <w:p w:rsidR="009E3F76" w:rsidRPr="009E3F76" w:rsidRDefault="009E3F76" w:rsidP="009E3F76">
      <w:pPr>
        <w:spacing w:before="100" w:beforeAutospacing="1" w:after="100" w:afterAutospacing="1" w:line="240" w:lineRule="auto"/>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sz w:val="21"/>
          <w:szCs w:val="21"/>
          <w:lang w:eastAsia="ru-RU"/>
        </w:rPr>
        <w:t>Таблица 1 Игры на тренировку одной функции</w:t>
      </w:r>
    </w:p>
    <w:p w:rsidR="009E3F76" w:rsidRPr="009E3F76" w:rsidRDefault="009E3F76" w:rsidP="009E3F76">
      <w:pPr>
        <w:spacing w:before="100" w:beforeAutospacing="1" w:after="100" w:afterAutospacing="1" w:line="240" w:lineRule="auto"/>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4"/>
          <w:szCs w:val="24"/>
          <w:lang w:eastAsia="ru-RU"/>
        </w:rPr>
        <w:t> </w:t>
      </w:r>
    </w:p>
    <w:tbl>
      <w:tblPr>
        <w:tblW w:w="4000"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2535"/>
        <w:gridCol w:w="2542"/>
      </w:tblGrid>
      <w:tr w:rsidR="009E3F76" w:rsidRPr="009E3F76" w:rsidTr="009E3F76">
        <w:trPr>
          <w:tblCellSpacing w:w="7" w:type="dxa"/>
          <w:jc w:val="center"/>
        </w:trPr>
        <w:tc>
          <w:tcPr>
            <w:tcW w:w="16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jc w:val="center"/>
              <w:rPr>
                <w:rFonts w:ascii="Arial" w:eastAsia="Times New Roman" w:hAnsi="Arial" w:cs="Arial"/>
                <w:color w:val="52596F"/>
                <w:sz w:val="20"/>
                <w:szCs w:val="20"/>
                <w:lang w:eastAsia="ru-RU"/>
              </w:rPr>
            </w:pPr>
            <w:r w:rsidRPr="009E3F76">
              <w:rPr>
                <w:rFonts w:ascii="Arial" w:eastAsia="Times New Roman" w:hAnsi="Arial" w:cs="Arial"/>
                <w:b/>
                <w:bCs/>
                <w:color w:val="52596F"/>
                <w:sz w:val="21"/>
                <w:szCs w:val="21"/>
                <w:lang w:eastAsia="ru-RU"/>
              </w:rPr>
              <w:t>Функция, на тренировку которой направлены игры</w:t>
            </w:r>
          </w:p>
        </w:tc>
        <w:tc>
          <w:tcPr>
            <w:tcW w:w="17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jc w:val="center"/>
              <w:rPr>
                <w:rFonts w:ascii="Arial" w:eastAsia="Times New Roman" w:hAnsi="Arial" w:cs="Arial"/>
                <w:color w:val="52596F"/>
                <w:sz w:val="20"/>
                <w:szCs w:val="20"/>
                <w:lang w:eastAsia="ru-RU"/>
              </w:rPr>
            </w:pPr>
            <w:r w:rsidRPr="009E3F76">
              <w:rPr>
                <w:rFonts w:ascii="Arial" w:eastAsia="Times New Roman" w:hAnsi="Arial" w:cs="Arial"/>
                <w:b/>
                <w:bCs/>
                <w:color w:val="52596F"/>
                <w:sz w:val="21"/>
                <w:szCs w:val="21"/>
                <w:lang w:eastAsia="ru-RU"/>
              </w:rPr>
              <w:t>Индивидуальные</w:t>
            </w:r>
          </w:p>
        </w:tc>
        <w:tc>
          <w:tcPr>
            <w:tcW w:w="17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jc w:val="center"/>
              <w:rPr>
                <w:rFonts w:ascii="Arial" w:eastAsia="Times New Roman" w:hAnsi="Arial" w:cs="Arial"/>
                <w:color w:val="52596F"/>
                <w:sz w:val="20"/>
                <w:szCs w:val="20"/>
                <w:lang w:eastAsia="ru-RU"/>
              </w:rPr>
            </w:pPr>
            <w:r w:rsidRPr="009E3F76">
              <w:rPr>
                <w:rFonts w:ascii="Arial" w:eastAsia="Times New Roman" w:hAnsi="Arial" w:cs="Arial"/>
                <w:b/>
                <w:bCs/>
                <w:color w:val="52596F"/>
                <w:sz w:val="21"/>
                <w:szCs w:val="21"/>
                <w:lang w:eastAsia="ru-RU"/>
              </w:rPr>
              <w:t>Групповые</w:t>
            </w:r>
          </w:p>
        </w:tc>
      </w:tr>
      <w:tr w:rsidR="009E3F76" w:rsidRPr="009E3F76" w:rsidTr="009E3F76">
        <w:trPr>
          <w:tblCellSpacing w:w="7" w:type="dxa"/>
          <w:jc w:val="center"/>
        </w:trPr>
        <w:tc>
          <w:tcPr>
            <w:tcW w:w="16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Внимание</w:t>
            </w:r>
          </w:p>
        </w:tc>
        <w:tc>
          <w:tcPr>
            <w:tcW w:w="17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"Найди отличие" "Запрещенное движение"</w:t>
            </w:r>
          </w:p>
        </w:tc>
        <w:tc>
          <w:tcPr>
            <w:tcW w:w="17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"Запрещенное движение" "Передай мяч" "Броуновское движение"</w:t>
            </w:r>
          </w:p>
        </w:tc>
      </w:tr>
      <w:tr w:rsidR="009E3F76" w:rsidRPr="009E3F76" w:rsidTr="009E3F76">
        <w:trPr>
          <w:tblCellSpacing w:w="7" w:type="dxa"/>
          <w:jc w:val="center"/>
        </w:trPr>
        <w:tc>
          <w:tcPr>
            <w:tcW w:w="16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Контроль двигательной</w:t>
            </w:r>
          </w:p>
        </w:tc>
        <w:tc>
          <w:tcPr>
            <w:tcW w:w="17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"Разговор с руками"</w:t>
            </w:r>
          </w:p>
        </w:tc>
        <w:tc>
          <w:tcPr>
            <w:tcW w:w="17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"Море волнуется"</w:t>
            </w:r>
          </w:p>
        </w:tc>
      </w:tr>
      <w:tr w:rsidR="009E3F76" w:rsidRPr="009E3F76" w:rsidTr="009E3F76">
        <w:trPr>
          <w:tblCellSpacing w:w="7" w:type="dxa"/>
          <w:jc w:val="center"/>
        </w:trPr>
        <w:tc>
          <w:tcPr>
            <w:tcW w:w="16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Контроль импульсивности</w:t>
            </w:r>
          </w:p>
        </w:tc>
        <w:tc>
          <w:tcPr>
            <w:tcW w:w="17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"Говори!" "Съедобное-несъедобное"</w:t>
            </w:r>
          </w:p>
        </w:tc>
        <w:tc>
          <w:tcPr>
            <w:tcW w:w="170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"Съедобное-несъедобное" "Говори!" "Сиамские близнецы" "Слепой и поводырь"</w:t>
            </w:r>
          </w:p>
        </w:tc>
      </w:tr>
    </w:tbl>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4"/>
          <w:szCs w:val="24"/>
          <w:lang w:eastAsia="ru-RU"/>
        </w:rPr>
        <w:t> </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 xml:space="preserve">Тренировку слабых функций тоже следует проводить поэтапно. На первых порах надо подбирать такие упражнения и игры, которые способствовали бы развитию только одной функции. Например, игры, направленные на развитие только внимания или игры, которые учат ребенка контролировать свои импульсивные действия. Отдельным этапом в работе может стать использование игр, которые помогут </w:t>
      </w:r>
      <w:r w:rsidRPr="009E3F76">
        <w:rPr>
          <w:rFonts w:ascii="Times New Roman" w:eastAsia="Times New Roman" w:hAnsi="Times New Roman" w:cs="Times New Roman"/>
          <w:sz w:val="21"/>
          <w:szCs w:val="21"/>
          <w:lang w:eastAsia="ru-RU"/>
        </w:rPr>
        <w:lastRenderedPageBreak/>
        <w:t>ребенку приобрести навыки контроля двигательной активности. Приведенная таблица 1 может стать отправной точкой, одним из примеров работы по подбору игр. Как видно из таблицы, некоторые игры можно применять и при индивидуальной, и при групповой работе.</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Все игры, указанные в таблице (за исключением общеизвестных: "Съедобное-несъедобное", "Море волнуется...") описаны ниже.</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4"/>
          <w:szCs w:val="24"/>
          <w:lang w:eastAsia="ru-RU"/>
        </w:rPr>
        <w:t> </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sz w:val="21"/>
          <w:szCs w:val="21"/>
          <w:lang w:eastAsia="ru-RU"/>
        </w:rPr>
        <w:t>Таблица 2 Игры на тренировку двух и трех функций</w:t>
      </w:r>
    </w:p>
    <w:p w:rsidR="009E3F76" w:rsidRPr="009E3F76" w:rsidRDefault="009E3F76" w:rsidP="009E3F76">
      <w:pPr>
        <w:spacing w:before="100" w:beforeAutospacing="1" w:after="100" w:afterAutospacing="1" w:line="240" w:lineRule="auto"/>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4"/>
          <w:szCs w:val="24"/>
          <w:lang w:eastAsia="ru-RU"/>
        </w:rPr>
        <w:t> </w:t>
      </w:r>
    </w:p>
    <w:tbl>
      <w:tblPr>
        <w:tblW w:w="4000"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3"/>
        <w:gridCol w:w="3958"/>
      </w:tblGrid>
      <w:tr w:rsidR="009E3F76" w:rsidRPr="009E3F76" w:rsidTr="009E3F76">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jc w:val="center"/>
              <w:rPr>
                <w:rFonts w:ascii="Arial" w:eastAsia="Times New Roman" w:hAnsi="Arial" w:cs="Arial"/>
                <w:color w:val="52596F"/>
                <w:sz w:val="20"/>
                <w:szCs w:val="20"/>
                <w:lang w:eastAsia="ru-RU"/>
              </w:rPr>
            </w:pPr>
            <w:r w:rsidRPr="009E3F76">
              <w:rPr>
                <w:rFonts w:ascii="Arial" w:eastAsia="Times New Roman" w:hAnsi="Arial" w:cs="Arial"/>
                <w:b/>
                <w:bCs/>
                <w:color w:val="52596F"/>
                <w:sz w:val="21"/>
                <w:szCs w:val="21"/>
                <w:lang w:eastAsia="ru-RU"/>
              </w:rPr>
              <w:t>Тренируемые функции</w:t>
            </w:r>
          </w:p>
        </w:tc>
        <w:tc>
          <w:tcPr>
            <w:tcW w:w="26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jc w:val="center"/>
              <w:rPr>
                <w:rFonts w:ascii="Arial" w:eastAsia="Times New Roman" w:hAnsi="Arial" w:cs="Arial"/>
                <w:color w:val="52596F"/>
                <w:sz w:val="20"/>
                <w:szCs w:val="20"/>
                <w:lang w:eastAsia="ru-RU"/>
              </w:rPr>
            </w:pPr>
            <w:r w:rsidRPr="009E3F76">
              <w:rPr>
                <w:rFonts w:ascii="Arial" w:eastAsia="Times New Roman" w:hAnsi="Arial" w:cs="Arial"/>
                <w:b/>
                <w:bCs/>
                <w:color w:val="52596F"/>
                <w:sz w:val="21"/>
                <w:szCs w:val="21"/>
                <w:lang w:eastAsia="ru-RU"/>
              </w:rPr>
              <w:t>Игры</w:t>
            </w:r>
          </w:p>
        </w:tc>
      </w:tr>
      <w:tr w:rsidR="009E3F76" w:rsidRPr="009E3F76" w:rsidTr="009E3F76">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Внимание и контроль импульсивности</w:t>
            </w:r>
          </w:p>
        </w:tc>
        <w:tc>
          <w:tcPr>
            <w:tcW w:w="26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"Кричалки — шепталки— молчалки" "Гвалт"</w:t>
            </w:r>
          </w:p>
        </w:tc>
      </w:tr>
      <w:tr w:rsidR="009E3F76" w:rsidRPr="009E3F76" w:rsidTr="009E3F76">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Внимание и контроль двигательной активности</w:t>
            </w:r>
          </w:p>
        </w:tc>
        <w:tc>
          <w:tcPr>
            <w:tcW w:w="26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"Колпак мой треугольный" "Расставь посты" "Замри"</w:t>
            </w:r>
          </w:p>
        </w:tc>
      </w:tr>
      <w:tr w:rsidR="009E3F76" w:rsidRPr="009E3F76" w:rsidTr="009E3F76">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Контроль импульсивности и контроль двигательной активности</w:t>
            </w:r>
          </w:p>
        </w:tc>
        <w:tc>
          <w:tcPr>
            <w:tcW w:w="26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"Час тишины и час "можно""</w:t>
            </w:r>
          </w:p>
        </w:tc>
      </w:tr>
      <w:tr w:rsidR="009E3F76" w:rsidRPr="009E3F76" w:rsidTr="009E3F76">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Внимание, контроль импульсивности и контроль двигательной активности</w:t>
            </w:r>
          </w:p>
        </w:tc>
        <w:tc>
          <w:tcPr>
            <w:tcW w:w="2650" w:type="pct"/>
            <w:tcBorders>
              <w:top w:val="outset" w:sz="6" w:space="0" w:color="auto"/>
              <w:left w:val="outset" w:sz="6" w:space="0" w:color="auto"/>
              <w:bottom w:val="outset" w:sz="6" w:space="0" w:color="auto"/>
              <w:right w:val="outset" w:sz="6" w:space="0" w:color="auto"/>
            </w:tcBorders>
            <w:hideMark/>
          </w:tcPr>
          <w:p w:rsidR="009E3F76" w:rsidRPr="009E3F76" w:rsidRDefault="009E3F76" w:rsidP="009E3F76">
            <w:pPr>
              <w:spacing w:before="100" w:beforeAutospacing="1" w:after="100" w:afterAutospacing="1" w:line="240" w:lineRule="auto"/>
              <w:rPr>
                <w:rFonts w:ascii="Arial" w:eastAsia="Times New Roman" w:hAnsi="Arial" w:cs="Arial"/>
                <w:color w:val="52596F"/>
                <w:sz w:val="20"/>
                <w:szCs w:val="20"/>
                <w:lang w:eastAsia="ru-RU"/>
              </w:rPr>
            </w:pPr>
            <w:r w:rsidRPr="009E3F76">
              <w:rPr>
                <w:rFonts w:ascii="Arial" w:eastAsia="Times New Roman" w:hAnsi="Arial" w:cs="Arial"/>
                <w:color w:val="52596F"/>
                <w:sz w:val="21"/>
                <w:szCs w:val="21"/>
                <w:lang w:eastAsia="ru-RU"/>
              </w:rPr>
              <w:t>"Слушай команду" "Слушай хлопки" "Морские волны"</w:t>
            </w:r>
          </w:p>
        </w:tc>
      </w:tr>
    </w:tbl>
    <w:p w:rsidR="009E3F76" w:rsidRPr="009E3F76" w:rsidRDefault="009E3F76" w:rsidP="009E3F76">
      <w:pPr>
        <w:spacing w:before="100" w:beforeAutospacing="1" w:after="100" w:afterAutospacing="1" w:line="240" w:lineRule="auto"/>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4"/>
          <w:szCs w:val="24"/>
          <w:lang w:eastAsia="ru-RU"/>
        </w:rPr>
        <w:t> </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Проведя работу по тренировке одной слабой функции и получив результаты, можно подбирать игры на тренировку сразу двух функций. Как уже отмечалось, начинать лучше с индивидуальных форм работы, чтобы ребенок мог четко усвоить требования педагога, а затем постепенно вовлекать его в коллективные игры. При этом надо стараться увлечь ребенка, сделать так, чтобы ему было интересно. Когда же у него появится опытучастия в играх и упражнениях, направленных на развитие сразу двух слабых функций (внимание и контроль импульсивности, внимание и контроль двигательной активности и др.), можно переходить к более сложным формам работы по одновременной (в одной и той же игре) отработке всех трех функций.</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В таблице 2 приведены названия лишь некоторых игр, направленных на тренировку тех или иных функций. Каждый педагог по своему усмотрению может расширить этот перечень, используя указанные игры как для индивидуальной, так и для групповой работы (в зависимости от этапа и целей занятия).</w:t>
      </w:r>
    </w:p>
    <w:p w:rsidR="009E3F76" w:rsidRPr="009E3F76" w:rsidRDefault="009E3F76" w:rsidP="009E3F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76">
        <w:rPr>
          <w:rFonts w:ascii="Times New Roman" w:eastAsia="Times New Roman" w:hAnsi="Times New Roman" w:cs="Times New Roman"/>
          <w:noProof/>
          <w:sz w:val="24"/>
          <w:szCs w:val="24"/>
          <w:lang w:eastAsia="ru-RU"/>
        </w:rPr>
        <w:lastRenderedPageBreak/>
        <w:drawing>
          <wp:inline distT="0" distB="0" distL="0" distR="0" wp14:anchorId="0E0E40FF" wp14:editId="6E392F09">
            <wp:extent cx="3333750" cy="4581525"/>
            <wp:effectExtent l="0" t="0" r="0" b="9525"/>
            <wp:docPr id="2" name="Рисунок 2" descr="http://psychologvdou.ucoz.com/_si/0/3968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chologvdou.ucoz.com/_si/0/3968258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4581525"/>
                    </a:xfrm>
                    <a:prstGeom prst="rect">
                      <a:avLst/>
                    </a:prstGeom>
                    <a:noFill/>
                    <a:ln>
                      <a:noFill/>
                    </a:ln>
                  </pic:spPr>
                </pic:pic>
              </a:graphicData>
            </a:graphic>
          </wp:inline>
        </w:drawing>
      </w:r>
    </w:p>
    <w:p w:rsidR="009E3F76" w:rsidRPr="009E3F76" w:rsidRDefault="009E3F76" w:rsidP="009E3F7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9E3F76">
        <w:rPr>
          <w:rFonts w:ascii="Times New Roman" w:eastAsia="Times New Roman" w:hAnsi="Times New Roman" w:cs="Times New Roman"/>
          <w:b/>
          <w:bCs/>
          <w:color w:val="000080"/>
          <w:sz w:val="24"/>
          <w:szCs w:val="24"/>
          <w:lang w:eastAsia="ru-RU"/>
        </w:rPr>
        <w:t>Подвижные игры</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"Найди отличие" (Лютова Е.К., Монина Г.Б.)</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умения концентрировать внимание на деталях.</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Ребенок рисует любую несложную картинку ( котик, домик и др) и передает ее взрослому, а сам отворачивает-</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"Ласковые лапки" (Шевцова И.В.)</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lastRenderedPageBreak/>
        <w:t>Вариант игры: "зверек" будет прикасаться к щеке, колену, ладони. Можно поменяться с ребенком местами.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"Кричалки—шепталки—молчалки" (Шевцова И.В.)</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наблюдательности, умения действовать по правилу, волевой регуляции.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Из разноцветного картона надо сделать 3 силуэта ладони: красный, желтый, синий. Это — сигналы. Когда взрослый поднимает красную ладонь — "кричалку" можно бегать, кричать, сильно шуметь; желтая ладонь — "шепталка" — можно тихо передвигаться и шептаться, на сигнал "молчалка" — синяя ладонь — дети должны замереть на месте или лечь на пол и не шевелиться. Заканчивать игру следует "молчанками".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"Гвалт" (Коротаева Е.В., 1997)</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концентрации внимания. 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Желательно, чтобы до того как войдет водящий, каждый ребенок повторил вслух доставшееся ему слово.</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"Менялки" (Автор неизвестен)</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коммуникативных навыков, активизация детей.</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Игра проводится в кругу, участники выбирают водящего, который встает и выносит свой стул за круг, таким образом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"Разговор с руками" (Шевцова И.В.)</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научить детей контролировать свои действия. Если ребенок подрался, что -то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"Говори!" (Лютова Е.К., Монина Г.Б.)</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умения контролировать импульсивные действия.</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 xml:space="preserve">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w:t>
      </w:r>
      <w:r w:rsidRPr="009E3F76">
        <w:rPr>
          <w:rFonts w:ascii="Times New Roman" w:eastAsia="Times New Roman" w:hAnsi="Times New Roman" w:cs="Times New Roman"/>
          <w:sz w:val="21"/>
          <w:szCs w:val="21"/>
          <w:lang w:eastAsia="ru-RU"/>
        </w:rPr>
        <w:lastRenderedPageBreak/>
        <w:t>время года?"(Педагог делает паузу) "Говори!"; "Какого цвета у нас в группе (в классе) потолок?"... "Говори!"; "Какой сегодня день недели?"... "Говори!"; "Сколько будет два плюс три?" и т. д."</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Игра может проводиться как индивидуально, так и с группой детей.</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"Броуновское движение" (Шевченко Ю.С., 1997)</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умения распределять внимание. 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"Час тишины и час "можно"" (Кряжево Н.Л., 1997)</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дать возможность ребенку сбросить накопившуюся энергию, а взрослому — научиться управлять его поведением. 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С помощью этой игры можно избежать нескончаемого потока замечаний, которые взрослый адресует гиперактивно-му ребенку (а тот их "не слышит").</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"Передай мяч" (Кряжева Н.Л., 1997)</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снять излишнюю двигательную активность. 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"Сиамские близнецы" (Кряжева Н.Л., 1997)</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научить детей гибкости в общении друг с другом, способствовать возникновению доверия между ними.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9E3F76" w:rsidRPr="009E3F76" w:rsidRDefault="009E3F76" w:rsidP="009E3F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76">
        <w:rPr>
          <w:rFonts w:ascii="Times New Roman" w:eastAsia="Times New Roman" w:hAnsi="Times New Roman" w:cs="Times New Roman"/>
          <w:noProof/>
          <w:sz w:val="24"/>
          <w:szCs w:val="24"/>
          <w:lang w:eastAsia="ru-RU"/>
        </w:rPr>
        <w:drawing>
          <wp:inline distT="0" distB="0" distL="0" distR="0" wp14:anchorId="53E03BF2" wp14:editId="53C643D7">
            <wp:extent cx="1905000" cy="1524000"/>
            <wp:effectExtent l="0" t="0" r="0" b="0"/>
            <wp:docPr id="3" name="Рисунок 3" descr="http://psychologvdou.ucoz.com/_si/0/07819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chologvdou.ucoz.com/_si/0/0781946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"Зеваки" (Чистякова М.И., 1990)</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lastRenderedPageBreak/>
        <w:t>Цель: развитие произвольного внимания, быстроты реакции, обучение умению управлять своим телом и выполнять инструкции.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выпол 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"Колпак мой треугольный" (Старинная игра)</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научить концентрировать внимание, способствовать осознанию ребенком своего тела, научить управлять движениями и контролировать свое поведение. 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колпака. После этого фраза повторяется снова, но дети, которым выпадет говорить слово "колпак" заменяют его жестом (например, 2 легких хлопка ладошкой по своей голове). В еле 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завершаю щем повторе дети изображают только жестами всю фразу.</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Если такая длинная фраза трудна для воспроизведения, ее можно сократить.</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"Слушай команду" (Чистякова М.И., 1990)</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внимания, произвольности поведения. 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"Расставь посты" (Чистякова М.И., 1990)</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навыков волевой регуляции, способности концентрировать внимание на определенном сигнале. 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"Король сказал..." (Известная детская игра)</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переключение внимания с одного вида деятельности на другой, преодоление двигательных автоматизмов. 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"Запрещенное движение" (Кряжева Н.Л., 1997)</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 xml:space="preserve">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w:t>
      </w:r>
      <w:r w:rsidRPr="009E3F76">
        <w:rPr>
          <w:rFonts w:ascii="Times New Roman" w:eastAsia="Times New Roman" w:hAnsi="Times New Roman" w:cs="Times New Roman"/>
          <w:sz w:val="21"/>
          <w:szCs w:val="21"/>
          <w:lang w:eastAsia="ru-RU"/>
        </w:rPr>
        <w:lastRenderedPageBreak/>
        <w:t>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"Слушай хлопки" (Чистякова М.И., 1990)</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тренировка внимания и контроль двигательной активности.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"Замри" (Чистякова М.И., 1990)</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внимания и памяти. 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"Давайте поздороваемся" (Автор неизвестен)</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снятие мышечного напряжения, переключение внимания.</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1 хлопок — здороваемся за руку;</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2 хлопка — здороваемся плечиками;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3 хлопка — здороваемся спинками. Разнообразие тактильных ощущений, сопутствующих проведению этой игры, даст гиперактивному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"Веселая игра с колокольчиком" (Карпова Е.В., Лютова Е.К., 1999)</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развитие слухового восприятия. 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колоколъчик друг другу нельзя.</w:t>
      </w:r>
    </w:p>
    <w:p w:rsidR="009E3F76" w:rsidRPr="009E3F76" w:rsidRDefault="009E3F76" w:rsidP="009E3F7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E3F76">
        <w:rPr>
          <w:rFonts w:ascii="Times New Roman" w:eastAsia="Times New Roman" w:hAnsi="Times New Roman" w:cs="Times New Roman"/>
          <w:b/>
          <w:bCs/>
          <w:sz w:val="36"/>
          <w:szCs w:val="36"/>
          <w:lang w:eastAsia="ru-RU"/>
        </w:rPr>
        <w:t> </w:t>
      </w:r>
    </w:p>
    <w:p w:rsidR="009E3F76" w:rsidRPr="009E3F76" w:rsidRDefault="009E3F76" w:rsidP="009E3F7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E3F76">
        <w:rPr>
          <w:rFonts w:ascii="Times New Roman" w:eastAsia="Times New Roman" w:hAnsi="Times New Roman" w:cs="Times New Roman"/>
          <w:b/>
          <w:bCs/>
          <w:color w:val="000080"/>
          <w:sz w:val="24"/>
          <w:szCs w:val="24"/>
          <w:lang w:eastAsia="ru-RU"/>
        </w:rPr>
        <w:t>Игры за партами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Гиперактивные дети с трудом выдерживают занятие в детском саду, а тем более — школьный урок, поэтому для них необходимо проводить физкультминутки, которые можно выполнять как стоя, так и сидя за партами, по усмотрению педагога.</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 xml:space="preserve">С этой целью полезно использовать "Пальчиковые игры", которые приводятся в книге М. Рузиной "Страна пальчиковых игр", а также в других изданиях. Практика показывает, что дети старшего </w:t>
      </w:r>
      <w:r w:rsidRPr="009E3F76">
        <w:rPr>
          <w:rFonts w:ascii="Times New Roman" w:eastAsia="Times New Roman" w:hAnsi="Times New Roman" w:cs="Times New Roman"/>
          <w:sz w:val="21"/>
          <w:szCs w:val="21"/>
          <w:lang w:eastAsia="ru-RU"/>
        </w:rPr>
        <w:lastRenderedPageBreak/>
        <w:t>дошкольного и младшего школьного возраста с удовольствием играют в такие игры как "Лестница в небо", "Кукольный веер", "Гонки" и др.</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Педагог может начать игры с сообщения о том, что сейчас пальчики детей начнут "превращаться" то в сказочных персонажей, то в забавных зверьков, то в экзотических животных. Затем следует предложить несколько игр, подобных приведенным ниже.</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"Многоножки"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Перед началом игры руки находятся на краю парты. По сигналу учителя многоножки начинают двигаться к противоположному краю парты или в любом другом, заданном учителем, направлении. В движении принимают участие все пять пальцев.</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"Двуножки"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Игра проводится аналогично предыдущей, но в вгонках" участвуют только 2 пальца: указательный и средний. Остальные прижаты к ладони. Можно устраивать гонки между "двуножками" левой и правой руки, между ^двуножками" соседей по парте.</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"Слоны"</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Средний палец правой или левой руки превращается в 4хобот", остальные — в "ноги слона". Слону запрещается подпрыгивать и касаться хоботом земли, при ходьбе он должен опираться на все 4 лапы. Возможны также гонки слонов.</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Чтобы игра не превратилась в постоянное развлечение учащихся и не мешала проведению других занятий, перед ее началом учитель должен четко сформулировать правила: начинать и заканчивать игру только по определенному сигналу. Одним из сигналов может стать карточка из игры "Кричалки — шепталки — молчалки".</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"Морские волны" (Лютова Е.К., Монина Г. Б.)</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научить детей переключать внимание с одного вида деятельности на другой, способствовать снижению мышечного напряжения.</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По сигналу педагога "Штиль" все дети в классе "замирают". По сигналу "Волны" дети по очереди встают за своими партами. Сначала встают ученики, сидящие за первыми партами. Через 2-3 секунды поднимаются те, кто сидит за вторыми партами и т.д. Как только очередь доходит до обитателей последних парт, они встают и все вместе хлопают в ладоши, после чего дети, вставшие первыми (за первыми партами), садятся и т.д. По сигналу учителя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b/>
          <w:bCs/>
          <w:color w:val="0000CD"/>
          <w:sz w:val="21"/>
          <w:szCs w:val="21"/>
          <w:lang w:eastAsia="ru-RU"/>
        </w:rPr>
        <w:t>"Ловим комаров" (Лютова Е.К., Монина Г.Б.)</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Цель: снять мышечное напряжение с кистей рук, дать возможность гиперактивным детям подвигаться в свободном ритме и темпе.</w:t>
      </w:r>
    </w:p>
    <w:p w:rsidR="009E3F76" w:rsidRPr="009E3F76" w:rsidRDefault="009E3F76" w:rsidP="009E3F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F76">
        <w:rPr>
          <w:rFonts w:ascii="Times New Roman" w:eastAsia="Times New Roman" w:hAnsi="Times New Roman" w:cs="Times New Roman"/>
          <w:sz w:val="21"/>
          <w:szCs w:val="21"/>
          <w:lang w:eastAsia="ru-RU"/>
        </w:rPr>
        <w:t>Скажите детям: "Давайте представим, что наступило лето, я открыла форточку и к нам в класс (группу) налетело много комаров. По команде "Начали!" вы будете ловить комаров. Вот так! Педагог в медленном или среднем темпе делает хаотичные движения в воздухе, сжимая и разжимая при этом кулаки. То поочередно, то одновременно. Каждый ребенок будет "ловить комаров" в своем темпе и в своем ритме, не задевая тех, кто си дит рядом. По команде "Стой!" вы садитесь вот так: педагог показывает, как надо сесть (на свое усмотрение). Готовы? "Начали!"... "Стоп!" Хорошо потрудились. Устали. Опустите расслабленные ноги вниз, встряхните несколько раз ладонями. Пусть руки отдыхают. А теперь — снова за работу!"</w:t>
      </w:r>
    </w:p>
    <w:p w:rsidR="009E3F76" w:rsidRPr="009E3F76" w:rsidRDefault="009E3F76" w:rsidP="009E3F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76">
        <w:rPr>
          <w:rFonts w:ascii="Times New Roman" w:eastAsia="Times New Roman" w:hAnsi="Times New Roman" w:cs="Times New Roman"/>
          <w:noProof/>
          <w:color w:val="006FB2"/>
          <w:sz w:val="24"/>
          <w:szCs w:val="24"/>
          <w:lang w:eastAsia="ru-RU"/>
        </w:rPr>
        <w:lastRenderedPageBreak/>
        <w:drawing>
          <wp:inline distT="0" distB="0" distL="0" distR="0" wp14:anchorId="5C688D6D" wp14:editId="5EE29634">
            <wp:extent cx="3810000" cy="2752725"/>
            <wp:effectExtent l="0" t="0" r="0" b="9525"/>
            <wp:docPr id="4" name="Рисунок 4" descr="http://psychologvdou.ucoz.com/_si/0/s52683980.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chologvdou.ucoz.com/_si/0/s52683980.jpg">
                      <a:hlinkClick r:id="rId8" tgtFrame="&quot;_blank&quot;" tooltip="&quot;Нажмите, для просмотра в полном размере...&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752725"/>
                    </a:xfrm>
                    <a:prstGeom prst="rect">
                      <a:avLst/>
                    </a:prstGeom>
                    <a:noFill/>
                    <a:ln>
                      <a:noFill/>
                    </a:ln>
                  </pic:spPr>
                </pic:pic>
              </a:graphicData>
            </a:graphic>
          </wp:inline>
        </w:drawing>
      </w:r>
    </w:p>
    <w:p w:rsidR="009E3F76" w:rsidRPr="009E3F76" w:rsidRDefault="009E3F76" w:rsidP="009E3F7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E3F76">
        <w:rPr>
          <w:rFonts w:ascii="Times New Roman" w:eastAsia="Times New Roman" w:hAnsi="Times New Roman" w:cs="Times New Roman"/>
          <w:i/>
          <w:iCs/>
          <w:color w:val="000080"/>
          <w:sz w:val="21"/>
          <w:szCs w:val="21"/>
          <w:lang w:eastAsia="ru-RU"/>
        </w:rPr>
        <w:t>Источник Лютова Е.К., Монина Г.Б."Шпаргалка для родителей"</w:t>
      </w:r>
    </w:p>
    <w:p w:rsidR="00E94BDE" w:rsidRDefault="00E94BDE">
      <w:bookmarkStart w:id="0" w:name="_GoBack"/>
      <w:bookmarkEnd w:id="0"/>
    </w:p>
    <w:sectPr w:rsidR="00E94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35"/>
    <w:rsid w:val="009E3F76"/>
    <w:rsid w:val="00B24035"/>
    <w:rsid w:val="00E94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6748E-74B8-413D-A39D-5B926FA0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1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vdou.ucoz.com/_si/0/52683980.jpg"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psychologvdou.ucoz.com/_si/0/85844312.jpg" TargetMode="Externa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3024</Words>
  <Characters>17240</Characters>
  <Application>Microsoft Office Word</Application>
  <DocSecurity>0</DocSecurity>
  <Lines>143</Lines>
  <Paragraphs>40</Paragraphs>
  <ScaleCrop>false</ScaleCrop>
  <Company/>
  <LinksUpToDate>false</LinksUpToDate>
  <CharactersWithSpaces>20224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2015-10-23T10:24:00Z</dcterms:created>
  <dcterms:modified xsi:type="dcterms:W3CDTF">2015-10-23T10:24:00Z</dcterms:modified>
</cp:coreProperties>
</file>