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31" w:rsidRDefault="00747C31" w:rsidP="00747C31">
      <w:pPr>
        <w:pStyle w:val="a3"/>
        <w:shd w:val="clear" w:color="auto" w:fill="FFFFFF"/>
        <w:jc w:val="both"/>
        <w:rPr>
          <w:color w:val="000000"/>
          <w:sz w:val="22"/>
          <w:szCs w:val="22"/>
        </w:rPr>
      </w:pP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В рамках плана мероприятий федерального проекта «Современная школа» национального проекта «Образование» в нашей школе открылся центр образования </w:t>
      </w:r>
      <w:proofErr w:type="gramStart"/>
      <w:r>
        <w:rPr>
          <w:color w:val="000000"/>
          <w:sz w:val="22"/>
          <w:szCs w:val="22"/>
        </w:rPr>
        <w:t>естественно-научной</w:t>
      </w:r>
      <w:proofErr w:type="gramEnd"/>
      <w:r>
        <w:rPr>
          <w:color w:val="000000"/>
          <w:sz w:val="22"/>
          <w:szCs w:val="22"/>
        </w:rPr>
        <w:t xml:space="preserve"> и технологической направленности «Точка роста».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 На линейке директор школы рассказала о целях и задачах проекта. А также представила руков</w:t>
      </w:r>
      <w:r>
        <w:rPr>
          <w:color w:val="000000"/>
          <w:sz w:val="22"/>
          <w:szCs w:val="22"/>
        </w:rPr>
        <w:t xml:space="preserve">одителя центра: учителя математики и физики </w:t>
      </w:r>
      <w:proofErr w:type="spellStart"/>
      <w:r>
        <w:rPr>
          <w:color w:val="000000"/>
          <w:sz w:val="22"/>
          <w:szCs w:val="22"/>
        </w:rPr>
        <w:t>Бускину</w:t>
      </w:r>
      <w:proofErr w:type="spellEnd"/>
      <w:r>
        <w:rPr>
          <w:color w:val="000000"/>
          <w:sz w:val="22"/>
          <w:szCs w:val="22"/>
        </w:rPr>
        <w:t xml:space="preserve"> Ирину Владимировну</w:t>
      </w:r>
      <w:r>
        <w:rPr>
          <w:color w:val="000000"/>
          <w:sz w:val="22"/>
          <w:szCs w:val="22"/>
        </w:rPr>
        <w:t>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Целями создания Центра «Точка роста» является совершенствование условий для повышения качества образования, расширения возможностей обучающихся в освоении учебных предметов, программ дополнительного образования </w:t>
      </w:r>
      <w:proofErr w:type="gramStart"/>
      <w:r>
        <w:rPr>
          <w:color w:val="000000"/>
          <w:sz w:val="22"/>
          <w:szCs w:val="22"/>
        </w:rPr>
        <w:t>естественно-научной</w:t>
      </w:r>
      <w:proofErr w:type="gramEnd"/>
      <w:r>
        <w:rPr>
          <w:color w:val="000000"/>
          <w:sz w:val="22"/>
          <w:szCs w:val="22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На открытии педагоги центра представили ученикам новое оборудование и рассказали ребятам о возможностях его использования. В центре будут работать молодые и перспективные педагоги: </w:t>
      </w:r>
      <w:r>
        <w:rPr>
          <w:color w:val="000000"/>
          <w:sz w:val="22"/>
          <w:szCs w:val="22"/>
        </w:rPr>
        <w:t xml:space="preserve">Захарова Виктория </w:t>
      </w:r>
      <w:proofErr w:type="spellStart"/>
      <w:r>
        <w:rPr>
          <w:color w:val="000000"/>
          <w:sz w:val="22"/>
          <w:szCs w:val="22"/>
        </w:rPr>
        <w:t>Самвеловн</w:t>
      </w:r>
      <w:proofErr w:type="gramStart"/>
      <w:r>
        <w:rPr>
          <w:color w:val="000000"/>
          <w:sz w:val="22"/>
          <w:szCs w:val="22"/>
        </w:rPr>
        <w:t>а</w:t>
      </w:r>
      <w:proofErr w:type="spellEnd"/>
      <w:r>
        <w:rPr>
          <w:color w:val="000000"/>
          <w:sz w:val="22"/>
          <w:szCs w:val="22"/>
        </w:rPr>
        <w:t>(</w:t>
      </w:r>
      <w:proofErr w:type="gramEnd"/>
      <w:r>
        <w:rPr>
          <w:color w:val="000000"/>
          <w:sz w:val="22"/>
          <w:szCs w:val="22"/>
        </w:rPr>
        <w:t xml:space="preserve">педагог-организатор), </w:t>
      </w:r>
      <w:proofErr w:type="spellStart"/>
      <w:r>
        <w:rPr>
          <w:color w:val="000000"/>
          <w:sz w:val="22"/>
          <w:szCs w:val="22"/>
        </w:rPr>
        <w:t>Манушенко</w:t>
      </w:r>
      <w:proofErr w:type="spellEnd"/>
      <w:r>
        <w:rPr>
          <w:color w:val="000000"/>
          <w:sz w:val="22"/>
          <w:szCs w:val="22"/>
        </w:rPr>
        <w:t xml:space="preserve"> Юлия Владимировна, Михайлов Леонид Леонидович, </w:t>
      </w:r>
      <w:proofErr w:type="spellStart"/>
      <w:r>
        <w:rPr>
          <w:color w:val="000000"/>
          <w:sz w:val="22"/>
          <w:szCs w:val="22"/>
        </w:rPr>
        <w:t>Гарабаджи</w:t>
      </w:r>
      <w:proofErr w:type="spellEnd"/>
      <w:r>
        <w:rPr>
          <w:color w:val="000000"/>
          <w:sz w:val="22"/>
          <w:szCs w:val="22"/>
        </w:rPr>
        <w:t xml:space="preserve"> Оксана Владимировна.</w:t>
      </w:r>
      <w:bookmarkStart w:id="0" w:name="_GoBack"/>
      <w:bookmarkEnd w:id="0"/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 Центр «Точка роста» обеспечит повышение охвата обучающихся программами основного общего и дополнительного образования естественно-научной и </w:t>
      </w:r>
      <w:proofErr w:type="gramStart"/>
      <w:r>
        <w:rPr>
          <w:color w:val="000000"/>
          <w:sz w:val="22"/>
          <w:szCs w:val="22"/>
        </w:rPr>
        <w:t>технологической</w:t>
      </w:r>
      <w:proofErr w:type="gramEnd"/>
      <w:r>
        <w:rPr>
          <w:color w:val="000000"/>
          <w:sz w:val="22"/>
          <w:szCs w:val="22"/>
        </w:rPr>
        <w:t xml:space="preserve"> направленностей с использованием современного оборудования. Центры "Точка роста" создаются при поддержке Министерства просвещения Российской Федерации</w:t>
      </w:r>
      <w:proofErr w:type="gramStart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о</w:t>
      </w:r>
      <w:proofErr w:type="gramEnd"/>
      <w:r>
        <w:rPr>
          <w:color w:val="000000"/>
          <w:sz w:val="22"/>
          <w:szCs w:val="22"/>
        </w:rPr>
        <w:t>бразования, науки и молодежной политики Краснодарского края, осуществляющего координацию мероприятий регионального проекта "Современная школа".</w:t>
      </w:r>
    </w:p>
    <w:p w:rsidR="00747C31" w:rsidRDefault="00747C31" w:rsidP="00747C31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Успехов педагогам и ученикам!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 xml:space="preserve">В 2021 году наша школа вошла в число участников Федеральной программы «Современная школа» национального проекта «Образование». Согласно данной программе до 2024 года в школах России будет создано 19950 центров образования </w:t>
      </w:r>
      <w:proofErr w:type="gramStart"/>
      <w:r>
        <w:rPr>
          <w:color w:val="333333"/>
          <w:sz w:val="21"/>
          <w:szCs w:val="21"/>
          <w:shd w:val="clear" w:color="auto" w:fill="FFFFFF"/>
        </w:rPr>
        <w:t>естественно-научной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и технологической направленности «Точка роста».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333333"/>
          <w:sz w:val="21"/>
          <w:szCs w:val="21"/>
          <w:shd w:val="clear" w:color="auto" w:fill="FFFFFF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Для этого на базе школы обновляются учебные помещения, приобретается современное оборудование, что позволяет расширить содержание образовательных программ, педагогические работники проходят курсы повышения квалификации.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 xml:space="preserve">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</w:t>
      </w:r>
      <w:proofErr w:type="gramStart"/>
      <w:r>
        <w:rPr>
          <w:color w:val="333333"/>
          <w:sz w:val="21"/>
          <w:szCs w:val="21"/>
          <w:shd w:val="clear" w:color="auto" w:fill="FFFFFF"/>
        </w:rPr>
        <w:t>естественно-научной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и технологической направленностей с использованием современного оборудования.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 xml:space="preserve">То есть у наших учеников </w:t>
      </w:r>
      <w:proofErr w:type="gramStart"/>
      <w:r>
        <w:rPr>
          <w:color w:val="333333"/>
          <w:sz w:val="21"/>
          <w:szCs w:val="21"/>
          <w:shd w:val="clear" w:color="auto" w:fill="FFFFFF"/>
        </w:rPr>
        <w:t>появится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возможность получать знания, которые соответствуют современным реалиям, возможность проявлять свои способности и таланты в естественнонаучном и технологическом направлении.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Центр «Точка роста» является частью образовательной среды школы, на базе которой осуществляется: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— преподавание учебных предметов из предметной области «</w:t>
      </w:r>
      <w:proofErr w:type="gramStart"/>
      <w:r>
        <w:rPr>
          <w:color w:val="333333"/>
          <w:sz w:val="21"/>
          <w:szCs w:val="21"/>
          <w:shd w:val="clear" w:color="auto" w:fill="FFFFFF"/>
        </w:rPr>
        <w:t>Естественно-научные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предметы»;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lastRenderedPageBreak/>
        <w:t>— проведение курсов по выбору обучающихся на уровнях основного общего и среднего общего образования;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 xml:space="preserve">— внеурочная деятельность для поддержки изучения предметов </w:t>
      </w:r>
      <w:proofErr w:type="gramStart"/>
      <w:r>
        <w:rPr>
          <w:color w:val="333333"/>
          <w:sz w:val="21"/>
          <w:szCs w:val="21"/>
          <w:shd w:val="clear" w:color="auto" w:fill="FFFFFF"/>
        </w:rPr>
        <w:t>естественно-научной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и технологической направленностей;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 xml:space="preserve">— дополнительное образование детей по программам естественно-научной и </w:t>
      </w:r>
      <w:proofErr w:type="gramStart"/>
      <w:r>
        <w:rPr>
          <w:color w:val="333333"/>
          <w:sz w:val="21"/>
          <w:szCs w:val="21"/>
          <w:shd w:val="clear" w:color="auto" w:fill="FFFFFF"/>
        </w:rPr>
        <w:t>технологической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направленностей;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— проведение внеклассных мероприятий для обучающихся, в том числе конкурсов, интеллектуальных и творческих состязаний, олимпиад;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— организация образовательных мероприятий для детей и педагогов из других образовательных организаций, а также поддержка и взаимодействие с другими общеобразовательными организациями.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Центры «Точка роста» создаются при поддержке Министерства просвещения Российской Федерации. Адрес сайта Министерства просвещения Российской Федерации: </w:t>
      </w:r>
      <w:hyperlink r:id="rId5" w:history="1">
        <w:r>
          <w:rPr>
            <w:rStyle w:val="a4"/>
            <w:sz w:val="21"/>
            <w:szCs w:val="21"/>
            <w:u w:val="none"/>
            <w:shd w:val="clear" w:color="auto" w:fill="FFFFFF"/>
          </w:rPr>
          <w:t>https://edu.gov.ru/</w:t>
        </w:r>
      </w:hyperlink>
      <w:r>
        <w:rPr>
          <w:color w:val="333333"/>
          <w:sz w:val="21"/>
          <w:szCs w:val="21"/>
          <w:shd w:val="clear" w:color="auto" w:fill="FFFFFF"/>
        </w:rPr>
        <w:t>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 xml:space="preserve">Федеральным оператором мероприятий по созданию Центров «Точка роста» является ФГАОУ ДПО «Академия </w:t>
      </w:r>
      <w:proofErr w:type="spellStart"/>
      <w:r>
        <w:rPr>
          <w:color w:val="333333"/>
          <w:sz w:val="21"/>
          <w:szCs w:val="21"/>
          <w:shd w:val="clear" w:color="auto" w:fill="FFFFFF"/>
        </w:rPr>
        <w:t>Минпросвещения</w:t>
      </w:r>
      <w:proofErr w:type="spellEnd"/>
      <w:r>
        <w:rPr>
          <w:color w:val="333333"/>
          <w:sz w:val="21"/>
          <w:szCs w:val="21"/>
          <w:shd w:val="clear" w:color="auto" w:fill="FFFFFF"/>
        </w:rPr>
        <w:t xml:space="preserve"> России». Адрес сайта Федерального оператора: </w:t>
      </w:r>
      <w:hyperlink r:id="rId6" w:history="1">
        <w:r>
          <w:rPr>
            <w:rStyle w:val="a4"/>
            <w:sz w:val="21"/>
            <w:szCs w:val="21"/>
            <w:u w:val="none"/>
            <w:shd w:val="clear" w:color="auto" w:fill="FFFFFF"/>
          </w:rPr>
          <w:t>https://apkpro.ru/</w:t>
        </w:r>
      </w:hyperlink>
      <w:r>
        <w:rPr>
          <w:color w:val="333333"/>
          <w:sz w:val="21"/>
          <w:szCs w:val="21"/>
          <w:shd w:val="clear" w:color="auto" w:fill="FFFFFF"/>
        </w:rPr>
        <w:t>.</w:t>
      </w:r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Региональным координатором мероприятий по созданию Центров «Точка роста» является Региональный ведомственный проектный офис. Адрес сайта регионального координатора: </w:t>
      </w:r>
      <w:hyperlink r:id="rId7" w:history="1">
        <w:r>
          <w:rPr>
            <w:rStyle w:val="a4"/>
            <w:sz w:val="21"/>
            <w:szCs w:val="21"/>
            <w:u w:val="none"/>
            <w:shd w:val="clear" w:color="auto" w:fill="FFFFFF"/>
          </w:rPr>
          <w:t>https://poe.kkr.ru/</w:t>
        </w:r>
      </w:hyperlink>
    </w:p>
    <w:p w:rsidR="00747C31" w:rsidRDefault="00747C31" w:rsidP="00747C3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333333"/>
          <w:sz w:val="21"/>
          <w:szCs w:val="21"/>
          <w:shd w:val="clear" w:color="auto" w:fill="FFFFFF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8" w:history="1">
        <w:r>
          <w:rPr>
            <w:rStyle w:val="a4"/>
            <w:sz w:val="21"/>
            <w:szCs w:val="21"/>
            <w:u w:val="none"/>
            <w:shd w:val="clear" w:color="auto" w:fill="FFFFFF"/>
          </w:rPr>
          <w:t>https://edu.gov.ru/national-project/</w:t>
        </w:r>
      </w:hyperlink>
      <w:r>
        <w:rPr>
          <w:color w:val="333333"/>
          <w:sz w:val="21"/>
          <w:szCs w:val="21"/>
          <w:shd w:val="clear" w:color="auto" w:fill="FFFFFF"/>
        </w:rPr>
        <w:t>.</w:t>
      </w:r>
    </w:p>
    <w:p w:rsidR="0046535D" w:rsidRDefault="0046535D"/>
    <w:sectPr w:rsidR="0046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31"/>
    <w:rsid w:val="0046535D"/>
    <w:rsid w:val="0074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e.kk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kpro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2022-11-20T17:46:00Z</dcterms:created>
  <dcterms:modified xsi:type="dcterms:W3CDTF">2022-11-20T17:56:00Z</dcterms:modified>
</cp:coreProperties>
</file>