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B2" w:rsidRDefault="009233B2" w:rsidP="009233B2">
      <w:pPr>
        <w:pStyle w:val="20"/>
        <w:spacing w:after="0" w:line="240" w:lineRule="auto"/>
        <w:rPr>
          <w:sz w:val="24"/>
          <w:szCs w:val="24"/>
        </w:rPr>
      </w:pPr>
      <w:r w:rsidRPr="009233B2">
        <w:rPr>
          <w:sz w:val="24"/>
          <w:szCs w:val="24"/>
        </w:rPr>
        <w:t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2017 году (за отчетный 2016 г.)</w:t>
      </w:r>
    </w:p>
    <w:p w:rsidR="009233B2" w:rsidRPr="009233B2" w:rsidRDefault="009233B2" w:rsidP="009233B2">
      <w:pPr>
        <w:pStyle w:val="20"/>
        <w:spacing w:after="0" w:line="240" w:lineRule="auto"/>
        <w:rPr>
          <w:sz w:val="24"/>
          <w:szCs w:val="24"/>
        </w:rPr>
      </w:pPr>
    </w:p>
    <w:p w:rsidR="009233B2" w:rsidRPr="009233B2" w:rsidRDefault="009233B2" w:rsidP="009233B2">
      <w:pPr>
        <w:pStyle w:val="20"/>
        <w:spacing w:after="0" w:line="240" w:lineRule="auto"/>
        <w:jc w:val="both"/>
        <w:rPr>
          <w:b w:val="0"/>
          <w:sz w:val="24"/>
          <w:szCs w:val="24"/>
        </w:rPr>
      </w:pPr>
    </w:p>
    <w:p w:rsidR="009233B2" w:rsidRPr="009233B2" w:rsidRDefault="009233B2" w:rsidP="009233B2">
      <w:pPr>
        <w:pStyle w:val="20"/>
        <w:spacing w:after="0" w:line="240" w:lineRule="auto"/>
        <w:ind w:firstLine="851"/>
        <w:jc w:val="both"/>
        <w:rPr>
          <w:b w:val="0"/>
          <w:sz w:val="24"/>
          <w:szCs w:val="24"/>
        </w:rPr>
      </w:pPr>
      <w:r w:rsidRPr="009233B2">
        <w:rPr>
          <w:b w:val="0"/>
          <w:sz w:val="24"/>
          <w:szCs w:val="24"/>
        </w:rPr>
        <w:t xml:space="preserve">В течение последних лет является устоявшейся практика подготовки Министерством труда и социальной защиты Российской </w:t>
      </w:r>
      <w:proofErr w:type="gramStart"/>
      <w:r w:rsidRPr="009233B2">
        <w:rPr>
          <w:b w:val="0"/>
          <w:sz w:val="24"/>
          <w:szCs w:val="24"/>
        </w:rPr>
        <w:t>Федерации</w:t>
      </w:r>
      <w:proofErr w:type="gramEnd"/>
      <w:r w:rsidRPr="009233B2">
        <w:rPr>
          <w:b w:val="0"/>
          <w:sz w:val="24"/>
          <w:szCs w:val="24"/>
        </w:rPr>
        <w:t xml:space="preserve"> ежегодно обновляемых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9233B2" w:rsidRPr="009233B2" w:rsidRDefault="009233B2" w:rsidP="009233B2">
      <w:pPr>
        <w:pStyle w:val="20"/>
        <w:spacing w:after="0" w:line="240" w:lineRule="auto"/>
        <w:ind w:firstLine="708"/>
        <w:jc w:val="both"/>
        <w:rPr>
          <w:b w:val="0"/>
          <w:sz w:val="24"/>
          <w:szCs w:val="24"/>
        </w:rPr>
      </w:pPr>
      <w:proofErr w:type="gramStart"/>
      <w:r w:rsidRPr="009233B2">
        <w:rPr>
          <w:b w:val="0"/>
          <w:sz w:val="24"/>
          <w:szCs w:val="24"/>
        </w:rPr>
        <w:t>Методические рекомендации для применения в ходе декларационной кампании 2017 г. (за отчетный 2016г.) подготовлены Министерством при участии Администрации Президента Российской Федерации и Генеральной прокуратуры Российской Федерации.</w:t>
      </w:r>
      <w:proofErr w:type="gramEnd"/>
    </w:p>
    <w:p w:rsidR="009233B2" w:rsidRPr="009233B2" w:rsidRDefault="009233B2" w:rsidP="009233B2">
      <w:pPr>
        <w:pStyle w:val="20"/>
        <w:spacing w:after="0" w:line="240" w:lineRule="auto"/>
        <w:ind w:firstLine="708"/>
        <w:jc w:val="both"/>
        <w:rPr>
          <w:b w:val="0"/>
          <w:sz w:val="24"/>
          <w:szCs w:val="24"/>
        </w:rPr>
      </w:pPr>
      <w:r w:rsidRPr="009233B2">
        <w:rPr>
          <w:b w:val="0"/>
          <w:sz w:val="24"/>
          <w:szCs w:val="24"/>
        </w:rPr>
        <w:t>В ходе использования в работе Методических рекомендаций предлагаем обратить внимание на следующее.</w:t>
      </w:r>
    </w:p>
    <w:p w:rsidR="009233B2" w:rsidRPr="009233B2" w:rsidRDefault="009233B2" w:rsidP="009233B2">
      <w:pPr>
        <w:pStyle w:val="20"/>
        <w:spacing w:after="0" w:line="240" w:lineRule="auto"/>
        <w:ind w:firstLine="708"/>
        <w:jc w:val="both"/>
        <w:rPr>
          <w:b w:val="0"/>
          <w:sz w:val="24"/>
          <w:szCs w:val="24"/>
        </w:rPr>
      </w:pPr>
      <w:r w:rsidRPr="009233B2">
        <w:rPr>
          <w:b w:val="0"/>
          <w:sz w:val="24"/>
          <w:szCs w:val="24"/>
        </w:rPr>
        <w:t>В 2017 год' последний день срока представления сведений приходится на нерабочий день, в этой связи в пункте 10 Методических рекомендаций описан порядок представления сведений в такой ситуации.</w:t>
      </w:r>
    </w:p>
    <w:p w:rsidR="009233B2" w:rsidRPr="009233B2" w:rsidRDefault="009233B2" w:rsidP="009233B2">
      <w:pPr>
        <w:pStyle w:val="20"/>
        <w:spacing w:after="0" w:line="240" w:lineRule="auto"/>
        <w:ind w:firstLine="708"/>
        <w:jc w:val="both"/>
        <w:rPr>
          <w:b w:val="0"/>
          <w:sz w:val="24"/>
          <w:szCs w:val="24"/>
        </w:rPr>
      </w:pPr>
      <w:r w:rsidRPr="009233B2">
        <w:rPr>
          <w:b w:val="0"/>
          <w:sz w:val="24"/>
          <w:szCs w:val="24"/>
        </w:rPr>
        <w:t>В пункте 15 Методических рекомендаций отмечается, что перевод служащего в другой государственный орган в период с 1 января по 1(30) апреля 2017 г. не освобождает его от обязанности представить сведения в соответствующее структурное подразделение государственного органа, в котором он замещал должность 31 декабря 2016 г.</w:t>
      </w:r>
    </w:p>
    <w:p w:rsidR="009233B2" w:rsidRPr="009233B2" w:rsidRDefault="009233B2" w:rsidP="009233B2">
      <w:pPr>
        <w:pStyle w:val="20"/>
        <w:spacing w:after="0" w:line="240" w:lineRule="auto"/>
        <w:ind w:firstLine="708"/>
        <w:jc w:val="both"/>
        <w:rPr>
          <w:b w:val="0"/>
          <w:sz w:val="24"/>
          <w:szCs w:val="24"/>
        </w:rPr>
      </w:pPr>
      <w:r w:rsidRPr="009233B2">
        <w:rPr>
          <w:b w:val="0"/>
          <w:sz w:val="24"/>
          <w:szCs w:val="24"/>
        </w:rPr>
        <w:t>Определен порядок представления сведений при внешнем и внутреннем совместительстве (пункт 16 Методических рекомендаций).</w:t>
      </w:r>
    </w:p>
    <w:p w:rsidR="009233B2" w:rsidRPr="009233B2" w:rsidRDefault="009233B2" w:rsidP="009233B2">
      <w:pPr>
        <w:pStyle w:val="20"/>
        <w:spacing w:after="0" w:line="240" w:lineRule="auto"/>
        <w:ind w:firstLine="708"/>
        <w:jc w:val="both"/>
        <w:rPr>
          <w:b w:val="0"/>
          <w:sz w:val="24"/>
          <w:szCs w:val="24"/>
        </w:rPr>
      </w:pPr>
      <w:r w:rsidRPr="009233B2">
        <w:rPr>
          <w:b w:val="0"/>
          <w:sz w:val="24"/>
          <w:szCs w:val="24"/>
        </w:rPr>
        <w:t>Пунктом 34 Методических рекомендаций отмечено, что при отражении в соответствующих разделах справки информации об отсутствии тех или иных сведений могут быть использованы слова «нет», «не имеется» или прочерк.</w:t>
      </w:r>
    </w:p>
    <w:p w:rsidR="009233B2" w:rsidRPr="009233B2" w:rsidRDefault="009233B2" w:rsidP="009233B2">
      <w:pPr>
        <w:pStyle w:val="20"/>
        <w:spacing w:after="0" w:line="240" w:lineRule="auto"/>
        <w:ind w:firstLine="708"/>
        <w:jc w:val="both"/>
        <w:rPr>
          <w:b w:val="0"/>
          <w:sz w:val="24"/>
          <w:szCs w:val="24"/>
        </w:rPr>
      </w:pPr>
      <w:r w:rsidRPr="009233B2">
        <w:rPr>
          <w:b w:val="0"/>
          <w:sz w:val="24"/>
          <w:szCs w:val="24"/>
        </w:rPr>
        <w:t>В абзаце втором подпункта 1 пункта 35 Методических рекомендаций указан порядок представления сведений в отношении несовершеннолетнего ребенка, не достигшего 14-летнего возраста, а в подпункте 3 - порядок представления сведений гражданином, не осуществляющим трудовую деятельность.</w:t>
      </w:r>
    </w:p>
    <w:p w:rsidR="009233B2" w:rsidRPr="009233B2" w:rsidRDefault="009233B2" w:rsidP="009233B2">
      <w:pPr>
        <w:pStyle w:val="20"/>
        <w:spacing w:after="0" w:line="240" w:lineRule="auto"/>
        <w:ind w:firstLine="708"/>
        <w:jc w:val="both"/>
        <w:rPr>
          <w:b w:val="0"/>
          <w:sz w:val="24"/>
          <w:szCs w:val="24"/>
        </w:rPr>
      </w:pPr>
      <w:r w:rsidRPr="009233B2">
        <w:rPr>
          <w:b w:val="0"/>
          <w:sz w:val="24"/>
          <w:szCs w:val="24"/>
        </w:rPr>
        <w:t>Пункт 39 Методических рекомендаций расширен особенностями заполнения раздела 1 справки лицами, зарегистрированными в качестве индивидуальных предпринимателей, а также лицами, замещающими муниципальные должности на непостоянной основе.</w:t>
      </w:r>
    </w:p>
    <w:p w:rsidR="009233B2" w:rsidRPr="009233B2" w:rsidRDefault="009233B2" w:rsidP="009233B2">
      <w:pPr>
        <w:pStyle w:val="20"/>
        <w:spacing w:after="0" w:line="240" w:lineRule="auto"/>
        <w:ind w:firstLine="708"/>
        <w:jc w:val="both"/>
        <w:rPr>
          <w:b w:val="0"/>
          <w:sz w:val="24"/>
          <w:szCs w:val="24"/>
        </w:rPr>
      </w:pPr>
      <w:r w:rsidRPr="009233B2">
        <w:rPr>
          <w:b w:val="0"/>
          <w:sz w:val="24"/>
          <w:szCs w:val="24"/>
        </w:rPr>
        <w:t xml:space="preserve">В пункте 53 Методических рекомендаций расширены виды доходов, которые могут быть указаны в строке 6 «Иные доходы» раздела 1 справки. Также дополнен перечень видов доходов, которые не подлежат указанию </w:t>
      </w:r>
    </w:p>
    <w:p w:rsidR="009233B2" w:rsidRPr="009233B2" w:rsidRDefault="009233B2" w:rsidP="009233B2">
      <w:pPr>
        <w:pStyle w:val="20"/>
        <w:spacing w:after="0" w:line="240" w:lineRule="auto"/>
        <w:jc w:val="both"/>
        <w:rPr>
          <w:b w:val="0"/>
          <w:sz w:val="24"/>
          <w:szCs w:val="24"/>
        </w:rPr>
      </w:pPr>
      <w:r w:rsidRPr="009233B2">
        <w:rPr>
          <w:b w:val="0"/>
          <w:sz w:val="24"/>
          <w:szCs w:val="24"/>
        </w:rPr>
        <w:t>(пункт 55).</w:t>
      </w:r>
    </w:p>
    <w:p w:rsidR="009233B2" w:rsidRPr="009233B2" w:rsidRDefault="009233B2" w:rsidP="009233B2">
      <w:pPr>
        <w:pStyle w:val="20"/>
        <w:spacing w:after="0" w:line="240" w:lineRule="auto"/>
        <w:ind w:firstLine="708"/>
        <w:jc w:val="both"/>
        <w:rPr>
          <w:b w:val="0"/>
          <w:sz w:val="24"/>
          <w:szCs w:val="24"/>
        </w:rPr>
      </w:pPr>
      <w:r w:rsidRPr="009233B2">
        <w:rPr>
          <w:b w:val="0"/>
          <w:sz w:val="24"/>
          <w:szCs w:val="24"/>
        </w:rPr>
        <w:t>Пунктами 57 и 61 Методических рекомендаций уточнены случаи, при которых раздел 2 «Сведения о расходах» справки не заполняется.</w:t>
      </w:r>
    </w:p>
    <w:p w:rsidR="009233B2" w:rsidRDefault="009233B2" w:rsidP="009233B2">
      <w:pPr>
        <w:pStyle w:val="20"/>
        <w:spacing w:after="0" w:line="240" w:lineRule="auto"/>
        <w:jc w:val="both"/>
        <w:rPr>
          <w:b w:val="0"/>
          <w:sz w:val="24"/>
          <w:szCs w:val="24"/>
        </w:rPr>
      </w:pPr>
      <w:r w:rsidRPr="009233B2">
        <w:rPr>
          <w:b w:val="0"/>
          <w:sz w:val="24"/>
          <w:szCs w:val="24"/>
        </w:rPr>
        <w:t xml:space="preserve">Пункт 76 Методических рекомендаций дополнен видами недвижимого имущества, которые не подлежат </w:t>
      </w:r>
      <w:proofErr w:type="gramStart"/>
      <w:r w:rsidRPr="009233B2">
        <w:rPr>
          <w:b w:val="0"/>
          <w:sz w:val="24"/>
          <w:szCs w:val="24"/>
        </w:rPr>
        <w:t>с казанию</w:t>
      </w:r>
      <w:proofErr w:type="gramEnd"/>
      <w:r w:rsidRPr="009233B2">
        <w:rPr>
          <w:b w:val="0"/>
          <w:sz w:val="24"/>
          <w:szCs w:val="24"/>
        </w:rPr>
        <w:t xml:space="preserve"> в разделе 3 справки.</w:t>
      </w:r>
    </w:p>
    <w:p w:rsidR="009233B2" w:rsidRPr="009233B2" w:rsidRDefault="009233B2" w:rsidP="009233B2">
      <w:pPr>
        <w:pStyle w:val="20"/>
        <w:spacing w:after="0" w:line="240" w:lineRule="auto"/>
        <w:jc w:val="both"/>
        <w:rPr>
          <w:b w:val="0"/>
          <w:sz w:val="24"/>
          <w:szCs w:val="24"/>
        </w:rPr>
      </w:pPr>
    </w:p>
    <w:p w:rsidR="009233B2" w:rsidRPr="009233B2" w:rsidRDefault="009233B2" w:rsidP="009233B2">
      <w:pPr>
        <w:pStyle w:val="20"/>
        <w:spacing w:after="0" w:line="240" w:lineRule="auto"/>
        <w:ind w:firstLine="708"/>
        <w:jc w:val="both"/>
        <w:rPr>
          <w:b w:val="0"/>
          <w:sz w:val="24"/>
          <w:szCs w:val="24"/>
        </w:rPr>
      </w:pPr>
      <w:proofErr w:type="gramStart"/>
      <w:r w:rsidRPr="009233B2">
        <w:rPr>
          <w:b w:val="0"/>
          <w:sz w:val="24"/>
          <w:szCs w:val="24"/>
        </w:rPr>
        <w:lastRenderedPageBreak/>
        <w:t>В пункте 89 Методических рекомендаций представлен пример отражения в графе «Основание приобретения и источники средств» раздела 3 справки правоустанавливающего документа в случае, если право на недвижимое имущество возникло до вступления в силу Федерального закона от 21 июля 1997 г. № 122-ФЗ М) государственной регистрации прав на недвижимое имущество и сделок с ним».</w:t>
      </w:r>
      <w:proofErr w:type="gramEnd"/>
    </w:p>
    <w:p w:rsidR="009233B2" w:rsidRPr="009233B2" w:rsidRDefault="009233B2" w:rsidP="009233B2">
      <w:pPr>
        <w:pStyle w:val="20"/>
        <w:spacing w:after="0" w:line="240" w:lineRule="auto"/>
        <w:ind w:firstLine="708"/>
        <w:jc w:val="both"/>
        <w:rPr>
          <w:b w:val="0"/>
          <w:sz w:val="24"/>
          <w:szCs w:val="24"/>
        </w:rPr>
      </w:pPr>
      <w:r w:rsidRPr="009233B2">
        <w:rPr>
          <w:b w:val="0"/>
          <w:sz w:val="24"/>
          <w:szCs w:val="24"/>
        </w:rPr>
        <w:t>В пункте 97 Методических рекомендаций сказан порядок заполнения подраздела 3.2 раздела 3 справки при наличии водного и воздушного транспорта.</w:t>
      </w:r>
    </w:p>
    <w:p w:rsidR="009233B2" w:rsidRPr="009233B2" w:rsidRDefault="009233B2" w:rsidP="009233B2">
      <w:pPr>
        <w:pStyle w:val="20"/>
        <w:spacing w:after="0" w:line="240" w:lineRule="auto"/>
        <w:ind w:firstLine="708"/>
        <w:jc w:val="both"/>
        <w:rPr>
          <w:b w:val="0"/>
          <w:sz w:val="24"/>
          <w:szCs w:val="24"/>
        </w:rPr>
      </w:pPr>
      <w:r w:rsidRPr="009233B2">
        <w:rPr>
          <w:b w:val="0"/>
          <w:sz w:val="24"/>
          <w:szCs w:val="24"/>
        </w:rPr>
        <w:t xml:space="preserve">В пункте 98 </w:t>
      </w:r>
      <w:proofErr w:type="gramStart"/>
      <w:r w:rsidRPr="009233B2">
        <w:rPr>
          <w:b w:val="0"/>
          <w:sz w:val="24"/>
          <w:szCs w:val="24"/>
        </w:rPr>
        <w:t>Методических</w:t>
      </w:r>
      <w:proofErr w:type="gramEnd"/>
      <w:r w:rsidRPr="009233B2">
        <w:rPr>
          <w:b w:val="0"/>
          <w:sz w:val="24"/>
          <w:szCs w:val="24"/>
        </w:rPr>
        <w:t xml:space="preserve"> рекомендации отмечено, что прицепы, зарегистрированные в установленном порядке, также подлежат отражению в подразделе 3.2 раздела 3 справки.</w:t>
      </w:r>
    </w:p>
    <w:p w:rsidR="009233B2" w:rsidRPr="009233B2" w:rsidRDefault="009233B2" w:rsidP="009233B2">
      <w:pPr>
        <w:pStyle w:val="20"/>
        <w:spacing w:after="0" w:line="240" w:lineRule="auto"/>
        <w:ind w:firstLine="708"/>
        <w:jc w:val="both"/>
        <w:rPr>
          <w:b w:val="0"/>
          <w:sz w:val="24"/>
          <w:szCs w:val="24"/>
        </w:rPr>
      </w:pPr>
      <w:r w:rsidRPr="009233B2">
        <w:rPr>
          <w:b w:val="0"/>
          <w:sz w:val="24"/>
          <w:szCs w:val="24"/>
        </w:rPr>
        <w:t>Пункт 99 Мелодических рекомендаций посвящен отражению информации о счетах (вкладах) в иностранных банках, расположенных за пределами Российской Федерации, в разделе 4 справки (с рекомендацией приложить соответствующее заявление к справке). При этом в пункте 101 отмечено, что не подлежит указанию специальный избирательный счет.</w:t>
      </w:r>
    </w:p>
    <w:p w:rsidR="009233B2" w:rsidRPr="009233B2" w:rsidRDefault="009233B2" w:rsidP="009233B2">
      <w:pPr>
        <w:pStyle w:val="20"/>
        <w:spacing w:after="0" w:line="240" w:lineRule="auto"/>
        <w:ind w:firstLine="708"/>
        <w:jc w:val="both"/>
        <w:rPr>
          <w:b w:val="0"/>
          <w:sz w:val="24"/>
          <w:szCs w:val="24"/>
        </w:rPr>
      </w:pPr>
      <w:r w:rsidRPr="009233B2">
        <w:rPr>
          <w:b w:val="0"/>
          <w:sz w:val="24"/>
          <w:szCs w:val="24"/>
        </w:rPr>
        <w:t>Абзацем вторым пункта 122 Методических рекомендаций обращено внимание на необходимость отражения информации об учредительстве организации в графе «Наименование и организационно-правовая форма организации» раздела 5 справки.</w:t>
      </w:r>
    </w:p>
    <w:p w:rsidR="009233B2" w:rsidRPr="009233B2" w:rsidRDefault="009233B2" w:rsidP="009233B2">
      <w:pPr>
        <w:pStyle w:val="20"/>
        <w:spacing w:after="0" w:line="240" w:lineRule="auto"/>
        <w:ind w:firstLine="708"/>
        <w:jc w:val="both"/>
        <w:rPr>
          <w:b w:val="0"/>
          <w:sz w:val="24"/>
          <w:szCs w:val="24"/>
        </w:rPr>
      </w:pPr>
      <w:r w:rsidRPr="009233B2">
        <w:rPr>
          <w:b w:val="0"/>
          <w:sz w:val="24"/>
          <w:szCs w:val="24"/>
        </w:rPr>
        <w:t>В абзаце втором пункта 123 Методических рекомендаций представлена ситуация заполнения графы «Уставный капитал</w:t>
      </w:r>
      <w:proofErr w:type="gramStart"/>
      <w:r w:rsidRPr="009233B2">
        <w:rPr>
          <w:b w:val="0"/>
          <w:sz w:val="24"/>
          <w:szCs w:val="24"/>
        </w:rPr>
        <w:t>:»</w:t>
      </w:r>
      <w:proofErr w:type="gramEnd"/>
      <w:r w:rsidRPr="009233B2">
        <w:rPr>
          <w:b w:val="0"/>
          <w:sz w:val="24"/>
          <w:szCs w:val="24"/>
        </w:rPr>
        <w:t xml:space="preserve"> в случае, если законодательством не предусмотрено формирование такого капитала.</w:t>
      </w:r>
    </w:p>
    <w:p w:rsidR="009233B2" w:rsidRPr="009233B2" w:rsidRDefault="009233B2" w:rsidP="009233B2">
      <w:pPr>
        <w:pStyle w:val="20"/>
        <w:spacing w:after="0" w:line="240" w:lineRule="auto"/>
        <w:jc w:val="both"/>
        <w:rPr>
          <w:b w:val="0"/>
          <w:sz w:val="24"/>
          <w:szCs w:val="24"/>
        </w:rPr>
      </w:pPr>
      <w:r w:rsidRPr="009233B2">
        <w:rPr>
          <w:b w:val="0"/>
          <w:sz w:val="24"/>
          <w:szCs w:val="24"/>
        </w:rPr>
        <w:t>В пункте 129 Методических рекомендаций указывается, что в полразделе 6.1 раздела 6 справки необходимо отражать только те объекты недвижимого имущества, которые фактически находятся в пользовании.</w:t>
      </w:r>
    </w:p>
    <w:p w:rsidR="009233B2" w:rsidRPr="009233B2" w:rsidRDefault="009233B2" w:rsidP="009233B2">
      <w:pPr>
        <w:pStyle w:val="20"/>
        <w:spacing w:after="0" w:line="240" w:lineRule="auto"/>
        <w:ind w:firstLine="708"/>
        <w:jc w:val="both"/>
        <w:rPr>
          <w:b w:val="0"/>
          <w:sz w:val="24"/>
          <w:szCs w:val="24"/>
        </w:rPr>
      </w:pPr>
      <w:r w:rsidRPr="009233B2">
        <w:rPr>
          <w:b w:val="0"/>
          <w:sz w:val="24"/>
          <w:szCs w:val="24"/>
        </w:rPr>
        <w:t>Расширен перечень ситуаций, при которых объект недвижимого имущества указывается в подразделе 6.1 раздела 6 справки (пункт 131).</w:t>
      </w:r>
    </w:p>
    <w:p w:rsidR="009233B2" w:rsidRPr="009233B2" w:rsidRDefault="009233B2" w:rsidP="009233B2">
      <w:pPr>
        <w:pStyle w:val="20"/>
        <w:shd w:val="clear" w:color="auto" w:fill="auto"/>
        <w:spacing w:after="0" w:line="240" w:lineRule="auto"/>
        <w:ind w:firstLine="708"/>
        <w:jc w:val="both"/>
        <w:rPr>
          <w:b w:val="0"/>
          <w:sz w:val="24"/>
          <w:szCs w:val="24"/>
        </w:rPr>
      </w:pPr>
      <w:r w:rsidRPr="009233B2">
        <w:rPr>
          <w:b w:val="0"/>
          <w:sz w:val="24"/>
          <w:szCs w:val="24"/>
        </w:rPr>
        <w:t>В пункте 144 Методических рекомендаций приведен пример ситуации, при которой финансовое обязательство не подлежит указанию в подразделе 6.2 раздела 6 справки.</w:t>
      </w:r>
    </w:p>
    <w:p w:rsidR="009233B2" w:rsidRPr="009233B2" w:rsidRDefault="009233B2" w:rsidP="009233B2">
      <w:pPr>
        <w:pStyle w:val="2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</w:p>
    <w:p w:rsidR="009233B2" w:rsidRPr="009233B2" w:rsidRDefault="009233B2" w:rsidP="009233B2">
      <w:pPr>
        <w:pStyle w:val="2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</w:p>
    <w:p w:rsidR="009233B2" w:rsidRPr="009233B2" w:rsidRDefault="009233B2" w:rsidP="009233B2">
      <w:pPr>
        <w:pStyle w:val="2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bookmarkStart w:id="0" w:name="_GoBack"/>
      <w:bookmarkEnd w:id="0"/>
    </w:p>
    <w:sectPr w:rsidR="009233B2" w:rsidRPr="009233B2" w:rsidSect="00E36CA8">
      <w:type w:val="continuous"/>
      <w:pgSz w:w="11906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A45" w:rsidRDefault="00321A45">
      <w:r>
        <w:separator/>
      </w:r>
    </w:p>
  </w:endnote>
  <w:endnote w:type="continuationSeparator" w:id="0">
    <w:p w:rsidR="00321A45" w:rsidRDefault="0032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A45" w:rsidRDefault="00321A45"/>
  </w:footnote>
  <w:footnote w:type="continuationSeparator" w:id="0">
    <w:p w:rsidR="00321A45" w:rsidRDefault="00321A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A1B3E"/>
    <w:rsid w:val="000A1B3E"/>
    <w:rsid w:val="00321A45"/>
    <w:rsid w:val="00474080"/>
    <w:rsid w:val="009233B2"/>
    <w:rsid w:val="00D11539"/>
    <w:rsid w:val="00E3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1pt">
    <w:name w:val="Основной текст + Полужирный;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pt0pt">
    <w:name w:val="Основной текст + 12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07" w:lineRule="exact"/>
      <w:jc w:val="center"/>
    </w:pPr>
    <w:rPr>
      <w:rFonts w:ascii="Times New Roman" w:eastAsia="Times New Roman" w:hAnsi="Times New Roman" w:cs="Times New Roman"/>
      <w:b/>
      <w:bCs/>
      <w:spacing w:val="20"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307" w:lineRule="exact"/>
      <w:ind w:firstLine="680"/>
      <w:jc w:val="both"/>
    </w:pPr>
    <w:rPr>
      <w:rFonts w:ascii="Times New Roman" w:eastAsia="Times New Roman" w:hAnsi="Times New Roman" w:cs="Times New Roman"/>
      <w:spacing w:val="1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1pt">
    <w:name w:val="Основной текст + Полужирный;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pt0pt">
    <w:name w:val="Основной текст + 12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07" w:lineRule="exact"/>
      <w:jc w:val="center"/>
    </w:pPr>
    <w:rPr>
      <w:rFonts w:ascii="Times New Roman" w:eastAsia="Times New Roman" w:hAnsi="Times New Roman" w:cs="Times New Roman"/>
      <w:b/>
      <w:bCs/>
      <w:spacing w:val="20"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307" w:lineRule="exact"/>
      <w:ind w:firstLine="680"/>
      <w:jc w:val="both"/>
    </w:pPr>
    <w:rPr>
      <w:rFonts w:ascii="Times New Roman" w:eastAsia="Times New Roman" w:hAnsi="Times New Roman" w:cs="Times New Roman"/>
      <w:spacing w:val="1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Halimat</cp:lastModifiedBy>
  <cp:revision>5</cp:revision>
  <dcterms:created xsi:type="dcterms:W3CDTF">2017-01-16T13:40:00Z</dcterms:created>
  <dcterms:modified xsi:type="dcterms:W3CDTF">2017-01-19T07:57:00Z</dcterms:modified>
</cp:coreProperties>
</file>