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71" w:rsidRDefault="00970371" w:rsidP="00970371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GoBack"/>
      <w:r w:rsidRPr="006601E2">
        <w:rPr>
          <w:rFonts w:ascii="Times New Roman" w:hAnsi="Times New Roman" w:cs="Times New Roman"/>
          <w:b/>
          <w:color w:val="auto"/>
          <w:sz w:val="22"/>
          <w:szCs w:val="22"/>
        </w:rPr>
        <w:t>Льготный образовательный кредит с государственной поддержкой для студентов КБГУ</w:t>
      </w:r>
    </w:p>
    <w:bookmarkEnd w:id="0"/>
    <w:p w:rsidR="00970371" w:rsidRPr="006601E2" w:rsidRDefault="00970371" w:rsidP="00970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601E2">
        <w:rPr>
          <w:rFonts w:ascii="Times New Roman" w:hAnsi="Times New Roman" w:cs="Times New Roman"/>
          <w:sz w:val="20"/>
          <w:shd w:val="clear" w:color="auto" w:fill="FFFFFF"/>
        </w:rPr>
        <w:t>Согласно постановлению Правительства РФ от 18 ноября 2013 года № 1026 «Об утверждении Правил предоставления государственной поддержки образовательного кредитования», граждане Российской Федерации, поступающие в Кабардино-Балкарский государственный университет имени Х.М. Бербекова, а также студенты КБГУ – граждане РФ имеют право получить льготный образовательный кредит с государственной поддержкой. Основным условием для получения льготного образовательного кредита является наличие заключенного с КБГУ договора на оказание платных образовательных услуг. Кредит предоставляется на оплату образования по основным программам высшего образования, второго высшего образования, на оплату обучения в магистратуре и аспирантуре. Ограничений по форме обучения нет.</w:t>
      </w:r>
    </w:p>
    <w:p w:rsidR="00416399" w:rsidRDefault="00416399" w:rsidP="00970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441"/>
      </w:tblGrid>
      <w:tr w:rsidR="00416399" w:rsidRPr="00790383" w:rsidTr="00790383">
        <w:trPr>
          <w:jc w:val="center"/>
        </w:trPr>
        <w:tc>
          <w:tcPr>
            <w:tcW w:w="2547" w:type="dxa"/>
          </w:tcPr>
          <w:p w:rsidR="00416399" w:rsidRPr="00790383" w:rsidRDefault="00416399" w:rsidP="008A1D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Валюта кредита</w:t>
            </w:r>
          </w:p>
        </w:tc>
        <w:tc>
          <w:tcPr>
            <w:tcW w:w="8441" w:type="dxa"/>
          </w:tcPr>
          <w:p w:rsidR="00416399" w:rsidRPr="00790383" w:rsidRDefault="00416399" w:rsidP="008A1DF0">
            <w:pPr>
              <w:tabs>
                <w:tab w:val="center" w:pos="339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Рубли РФ</w:t>
            </w:r>
          </w:p>
        </w:tc>
      </w:tr>
      <w:tr w:rsidR="00416399" w:rsidRPr="00790383" w:rsidTr="00790383">
        <w:trPr>
          <w:jc w:val="center"/>
        </w:trPr>
        <w:tc>
          <w:tcPr>
            <w:tcW w:w="2547" w:type="dxa"/>
            <w:vAlign w:val="center"/>
          </w:tcPr>
          <w:p w:rsidR="00416399" w:rsidRPr="00790383" w:rsidRDefault="00416399" w:rsidP="008A1D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Процентная ставка</w:t>
            </w:r>
          </w:p>
        </w:tc>
        <w:tc>
          <w:tcPr>
            <w:tcW w:w="8441" w:type="dxa"/>
          </w:tcPr>
          <w:p w:rsidR="00790383" w:rsidRPr="00790383" w:rsidRDefault="00416399" w:rsidP="008A1D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Совокупная процентная ставка по кредиту равна ставке рефинансирования ЦБ РФ, действующей на дату заключения кредитного договора, увеличенной на пять пунктов.</w:t>
            </w: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br/>
              <w:t>При этом:</w:t>
            </w:r>
          </w:p>
          <w:p w:rsidR="00790383" w:rsidRPr="00790383" w:rsidRDefault="00416399" w:rsidP="008A1D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 xml:space="preserve"> - ¼ ставки рефинансирования ЦБ РФ, увеличенная на пять пунктов (7,06%*) – уплачивается заемщиком; </w:t>
            </w:r>
          </w:p>
          <w:p w:rsidR="00416399" w:rsidRPr="00790383" w:rsidRDefault="00416399" w:rsidP="008A1D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- ¾ ставки рефинансирования ЦБ РФ (6,19%*) - субсидируется государством.</w:t>
            </w:r>
          </w:p>
        </w:tc>
      </w:tr>
      <w:tr w:rsidR="00790383" w:rsidRPr="00790383" w:rsidTr="00790383">
        <w:trPr>
          <w:jc w:val="center"/>
        </w:trPr>
        <w:tc>
          <w:tcPr>
            <w:tcW w:w="2547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Комиссия за выдачу кредита</w:t>
            </w:r>
          </w:p>
        </w:tc>
        <w:tc>
          <w:tcPr>
            <w:tcW w:w="8441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Отсутствует</w:t>
            </w:r>
          </w:p>
        </w:tc>
      </w:tr>
      <w:tr w:rsidR="00790383" w:rsidRPr="00790383" w:rsidTr="00790383">
        <w:trPr>
          <w:jc w:val="center"/>
        </w:trPr>
        <w:tc>
          <w:tcPr>
            <w:tcW w:w="2547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Обеспечение по кредиту</w:t>
            </w:r>
          </w:p>
        </w:tc>
        <w:tc>
          <w:tcPr>
            <w:tcW w:w="8441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Не требуется</w:t>
            </w:r>
          </w:p>
        </w:tc>
      </w:tr>
      <w:tr w:rsidR="00790383" w:rsidRPr="00790383" w:rsidTr="00790383">
        <w:trPr>
          <w:jc w:val="center"/>
        </w:trPr>
        <w:tc>
          <w:tcPr>
            <w:tcW w:w="2547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Страхование</w:t>
            </w:r>
          </w:p>
        </w:tc>
        <w:tc>
          <w:tcPr>
            <w:tcW w:w="8441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Не требуется</w:t>
            </w:r>
          </w:p>
        </w:tc>
      </w:tr>
      <w:tr w:rsidR="00790383" w:rsidRPr="00790383" w:rsidTr="00790383">
        <w:trPr>
          <w:jc w:val="center"/>
        </w:trPr>
        <w:tc>
          <w:tcPr>
            <w:tcW w:w="2547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Сумма кредита</w:t>
            </w:r>
          </w:p>
        </w:tc>
        <w:tc>
          <w:tcPr>
            <w:tcW w:w="8441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Соответствует стоимости обучения.</w:t>
            </w: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br/>
              <w:t>Платежеспособность заемщика не учитывается.</w:t>
            </w:r>
          </w:p>
        </w:tc>
      </w:tr>
      <w:tr w:rsidR="00790383" w:rsidRPr="00790383" w:rsidTr="00790383">
        <w:trPr>
          <w:jc w:val="center"/>
        </w:trPr>
        <w:tc>
          <w:tcPr>
            <w:tcW w:w="2547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Срок кредита</w:t>
            </w:r>
          </w:p>
        </w:tc>
        <w:tc>
          <w:tcPr>
            <w:tcW w:w="8441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Срок обучения, увеличенный на 10 лет, отведенных для погашения кредита.</w:t>
            </w:r>
          </w:p>
        </w:tc>
      </w:tr>
      <w:tr w:rsidR="00790383" w:rsidRPr="00790383" w:rsidTr="00790383">
        <w:trPr>
          <w:jc w:val="center"/>
        </w:trPr>
        <w:tc>
          <w:tcPr>
            <w:tcW w:w="2547" w:type="dxa"/>
            <w:vAlign w:val="center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Льготный период по погашению кредита и части процентов</w:t>
            </w:r>
          </w:p>
        </w:tc>
        <w:tc>
          <w:tcPr>
            <w:tcW w:w="8441" w:type="dxa"/>
          </w:tcPr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На период обучения и дополнительно 3 месяца заемщику предоставляется отсрочка по выплате:</w:t>
            </w:r>
          </w:p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- основного долга по кредиту;</w:t>
            </w:r>
          </w:p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- части платежей по процентам за 1-ый и 2-ой годы пользования кредитом (или за период, оставшийся до окончания обучения в вузе, если он составляет менее 2-х лет), исходя из процентной ставки Заемщика: 60 % от суммы платежа в течение первого года пользования кредитом, 40% от суммы платежа в течение второго года пользования кредитом.</w:t>
            </w:r>
          </w:p>
          <w:p w:rsidR="00790383" w:rsidRPr="00790383" w:rsidRDefault="00790383" w:rsidP="007903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  <w:r w:rsidRPr="0079038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/>
              </w:rPr>
              <w:t>Начиная с третьего года пользования кредитом, проценты уплачиваются Заемщиком в полном объеме.</w:t>
            </w:r>
          </w:p>
        </w:tc>
      </w:tr>
    </w:tbl>
    <w:p w:rsidR="00970371" w:rsidRDefault="00970371" w:rsidP="00970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0383" w:rsidRPr="00790383" w:rsidRDefault="00790383" w:rsidP="007903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18"/>
          <w:lang w:eastAsia="ru-RU"/>
        </w:rPr>
      </w:pPr>
      <w:r w:rsidRPr="0079038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Пример</w:t>
      </w:r>
      <w:r w:rsidRPr="00790383">
        <w:rPr>
          <w:rFonts w:ascii="Times New Roman" w:eastAsia="Times New Roman" w:hAnsi="Times New Roman" w:cs="Times New Roman"/>
          <w:b/>
          <w:color w:val="000000"/>
          <w:sz w:val="36"/>
          <w:szCs w:val="18"/>
          <w:lang w:eastAsia="ru-RU"/>
        </w:rPr>
        <w:t xml:space="preserve"> </w:t>
      </w:r>
    </w:p>
    <w:p w:rsidR="00790383" w:rsidRPr="0056063D" w:rsidRDefault="00790383" w:rsidP="00790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  <w:r w:rsidRPr="009E4527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>Расчет платы за пользование образовательным кредитом с государственной поддержкой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7"/>
        <w:gridCol w:w="1644"/>
        <w:gridCol w:w="1200"/>
        <w:gridCol w:w="1200"/>
        <w:gridCol w:w="1032"/>
        <w:gridCol w:w="1644"/>
        <w:gridCol w:w="1200"/>
        <w:gridCol w:w="1200"/>
        <w:gridCol w:w="1027"/>
      </w:tblGrid>
      <w:tr w:rsidR="00416399" w:rsidRPr="00970371" w:rsidTr="00790383">
        <w:trPr>
          <w:trHeight w:val="20"/>
        </w:trPr>
        <w:tc>
          <w:tcPr>
            <w:tcW w:w="476" w:type="pct"/>
            <w:vMerge w:val="restart"/>
            <w:tcBorders>
              <w:top w:val="double" w:sz="4" w:space="0" w:color="FF0000"/>
              <w:left w:val="double" w:sz="4" w:space="0" w:color="FF0000"/>
              <w:bottom w:val="single" w:sz="4" w:space="0" w:color="00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Период</w:t>
            </w:r>
          </w:p>
        </w:tc>
        <w:tc>
          <w:tcPr>
            <w:tcW w:w="2262" w:type="pct"/>
            <w:gridSpan w:val="4"/>
            <w:tcBorders>
              <w:top w:val="doub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Лечебное дело</w:t>
            </w:r>
          </w:p>
        </w:tc>
        <w:tc>
          <w:tcPr>
            <w:tcW w:w="2262" w:type="pct"/>
            <w:gridSpan w:val="4"/>
            <w:tcBorders>
              <w:top w:val="double" w:sz="4" w:space="0" w:color="0000FF"/>
              <w:left w:val="double" w:sz="4" w:space="0" w:color="FF0000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Экономика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vMerge/>
            <w:tcBorders>
              <w:top w:val="single" w:sz="4" w:space="0" w:color="auto"/>
              <w:left w:val="double" w:sz="4" w:space="0" w:color="FF0000"/>
              <w:bottom w:val="single" w:sz="4" w:space="0" w:color="000000"/>
              <w:right w:val="single" w:sz="4" w:space="0" w:color="FF0000"/>
            </w:tcBorders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 предоставляемого кредита банком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 к уплате за пользование кредитом за семестр</w:t>
            </w:r>
          </w:p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(с учетом льготы)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 к уплате за пользование кредитом в месяц (с учетом льготы)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Оплата основного долга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 предоставляемого кредита банком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 к уплате за пользование кредитом (с учетом льготы)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416399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Сумма </w:t>
            </w:r>
          </w:p>
          <w:p w:rsid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 уплате за пользование кредитом в месяц</w:t>
            </w:r>
          </w:p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(с учетом льготы)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vAlign w:val="center"/>
            <w:hideMark/>
          </w:tcPr>
          <w:p w:rsidR="00970371" w:rsidRPr="00970371" w:rsidRDefault="00970371" w:rsidP="0097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Оплата основного долга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nil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1</w:t>
            </w:r>
          </w:p>
        </w:tc>
        <w:tc>
          <w:tcPr>
            <w:tcW w:w="733" w:type="pct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50500</w:t>
            </w:r>
          </w:p>
        </w:tc>
        <w:tc>
          <w:tcPr>
            <w:tcW w:w="535" w:type="pct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713,06</w:t>
            </w:r>
          </w:p>
        </w:tc>
        <w:tc>
          <w:tcPr>
            <w:tcW w:w="535" w:type="pct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118,84</w:t>
            </w:r>
          </w:p>
        </w:tc>
        <w:tc>
          <w:tcPr>
            <w:tcW w:w="460" w:type="pct"/>
            <w:tcBorders>
              <w:top w:val="nil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53000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748,36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124,73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0,00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2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101000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1 426,12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237,69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106000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1 496,72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249,45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0,00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3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151500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3 208,77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534,80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159000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3 367,62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561,27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0,00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4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202000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4 278,36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713,06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212000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4 490,16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748,36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0,00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5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252500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8 913,25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1 485,54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265000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9 354,50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1 559,08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0,00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6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303000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10 695,90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1 782,65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318000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11 225,40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1 870,90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0,00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7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353500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12 478,55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2 079,76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371000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13 096,30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2 182,72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0,00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8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404000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14 261,20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2 376,87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14 967,20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2 494,53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0,00</w:t>
            </w: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9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454500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16 043,85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2 673,98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10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505000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17 826,50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2 971,08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11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555500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19 609,15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3 268,19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790383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семестр 12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21 391,80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3 565,30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416399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00"/>
            <w:noWrap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Итого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00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00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130 846,51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00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000000" w:fill="FFFF00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424000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58 746,26</w:t>
            </w:r>
          </w:p>
        </w:tc>
        <w:tc>
          <w:tcPr>
            <w:tcW w:w="535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00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000000" w:fill="FFFF00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79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970371" w:rsidRPr="00970371" w:rsidTr="00790383">
        <w:trPr>
          <w:trHeight w:val="20"/>
        </w:trPr>
        <w:tc>
          <w:tcPr>
            <w:tcW w:w="2278" w:type="pct"/>
            <w:gridSpan w:val="4"/>
            <w:tcBorders>
              <w:top w:val="single" w:sz="4" w:space="0" w:color="FF0000"/>
              <w:left w:val="doub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</w:t>
            </w:r>
          </w:p>
        </w:tc>
        <w:tc>
          <w:tcPr>
            <w:tcW w:w="1803" w:type="pct"/>
            <w:gridSpan w:val="3"/>
            <w:tcBorders>
              <w:top w:val="single" w:sz="4" w:space="0" w:color="0000FF"/>
              <w:left w:val="double" w:sz="4" w:space="0" w:color="FF0000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970371" w:rsidRPr="00970371" w:rsidRDefault="00970371" w:rsidP="00FB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 год после окончания (выплата за год)</w:t>
            </w: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</w:t>
            </w:r>
          </w:p>
        </w:tc>
      </w:tr>
      <w:tr w:rsidR="00416399" w:rsidRPr="00970371" w:rsidTr="00790383">
        <w:trPr>
          <w:trHeight w:val="20"/>
        </w:trPr>
        <w:tc>
          <w:tcPr>
            <w:tcW w:w="476" w:type="pct"/>
            <w:tcBorders>
              <w:top w:val="single" w:sz="4" w:space="0" w:color="FF0000"/>
              <w:left w:val="doub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vAlign w:val="bottom"/>
            <w:hideMark/>
          </w:tcPr>
          <w:p w:rsidR="00970371" w:rsidRPr="00970371" w:rsidRDefault="00970371" w:rsidP="0097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Всего:</w:t>
            </w:r>
          </w:p>
        </w:tc>
        <w:tc>
          <w:tcPr>
            <w:tcW w:w="733" w:type="pct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606000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130 846,51</w:t>
            </w:r>
          </w:p>
        </w:tc>
        <w:tc>
          <w:tcPr>
            <w:tcW w:w="535" w:type="pct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606000</w:t>
            </w:r>
          </w:p>
        </w:tc>
        <w:tc>
          <w:tcPr>
            <w:tcW w:w="733" w:type="pct"/>
            <w:tcBorders>
              <w:top w:val="single" w:sz="4" w:space="0" w:color="0000FF"/>
              <w:left w:val="double" w:sz="4" w:space="0" w:color="FF0000"/>
              <w:bottom w:val="doub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424000</w:t>
            </w:r>
          </w:p>
        </w:tc>
        <w:tc>
          <w:tcPr>
            <w:tcW w:w="535" w:type="pct"/>
            <w:tcBorders>
              <w:top w:val="single" w:sz="4" w:space="0" w:color="0000FF"/>
              <w:left w:val="single" w:sz="4" w:space="0" w:color="0000FF"/>
              <w:bottom w:val="doub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58 746,26</w:t>
            </w:r>
          </w:p>
        </w:tc>
        <w:tc>
          <w:tcPr>
            <w:tcW w:w="535" w:type="pct"/>
            <w:tcBorders>
              <w:top w:val="single" w:sz="4" w:space="0" w:color="0000FF"/>
              <w:left w:val="single" w:sz="4" w:space="0" w:color="0000FF"/>
              <w:bottom w:val="doub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0000FF"/>
              <w:left w:val="sing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noWrap/>
            <w:vAlign w:val="center"/>
            <w:hideMark/>
          </w:tcPr>
          <w:p w:rsidR="00970371" w:rsidRPr="00970371" w:rsidRDefault="00970371" w:rsidP="00FB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97037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424000</w:t>
            </w:r>
          </w:p>
        </w:tc>
      </w:tr>
    </w:tbl>
    <w:p w:rsidR="009F27AD" w:rsidRPr="00790383" w:rsidRDefault="009F27AD">
      <w:pPr>
        <w:rPr>
          <w:sz w:val="10"/>
        </w:rPr>
      </w:pPr>
    </w:p>
    <w:sectPr w:rsidR="009F27AD" w:rsidRPr="00790383" w:rsidSect="00970371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71"/>
    <w:rsid w:val="00046727"/>
    <w:rsid w:val="00416399"/>
    <w:rsid w:val="005168C9"/>
    <w:rsid w:val="006601E2"/>
    <w:rsid w:val="00790383"/>
    <w:rsid w:val="00970371"/>
    <w:rsid w:val="009F27AD"/>
    <w:rsid w:val="00C77D1A"/>
    <w:rsid w:val="00FB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3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3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41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3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3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41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2015-11-18T17:41:00Z</dcterms:created>
  <dcterms:modified xsi:type="dcterms:W3CDTF">2015-11-18T17:41:00Z</dcterms:modified>
</cp:coreProperties>
</file>