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7B" w:rsidRPr="00A17737" w:rsidRDefault="0037327B" w:rsidP="00525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17737">
        <w:rPr>
          <w:rFonts w:ascii="Times New Roman" w:hAnsi="Times New Roman"/>
          <w:b/>
          <w:sz w:val="28"/>
          <w:szCs w:val="28"/>
        </w:rPr>
        <w:t>О контрольном мероприятии в администрации</w:t>
      </w:r>
      <w:r w:rsidR="00803150" w:rsidRPr="00A17737">
        <w:rPr>
          <w:rFonts w:ascii="Times New Roman" w:hAnsi="Times New Roman"/>
          <w:b/>
          <w:sz w:val="28"/>
          <w:szCs w:val="28"/>
        </w:rPr>
        <w:t xml:space="preserve"> </w:t>
      </w:r>
      <w:r w:rsidR="00525634" w:rsidRPr="00A17737">
        <w:rPr>
          <w:rFonts w:ascii="Times New Roman" w:hAnsi="Times New Roman"/>
          <w:b/>
          <w:sz w:val="28"/>
          <w:szCs w:val="28"/>
        </w:rPr>
        <w:t>МАУ</w:t>
      </w:r>
      <w:r w:rsidR="00890F1D" w:rsidRPr="00A17737">
        <w:rPr>
          <w:rFonts w:ascii="Times New Roman" w:hAnsi="Times New Roman"/>
          <w:b/>
          <w:sz w:val="28"/>
          <w:szCs w:val="28"/>
        </w:rPr>
        <w:t xml:space="preserve"> </w:t>
      </w:r>
      <w:r w:rsidR="00525634" w:rsidRPr="00A17737">
        <w:rPr>
          <w:rFonts w:ascii="Times New Roman" w:hAnsi="Times New Roman"/>
          <w:b/>
          <w:bCs/>
          <w:sz w:val="28"/>
          <w:szCs w:val="28"/>
        </w:rPr>
        <w:t xml:space="preserve">«Досуговый центр кино» </w:t>
      </w:r>
      <w:r w:rsidRPr="00A17737">
        <w:rPr>
          <w:rFonts w:ascii="Times New Roman" w:hAnsi="Times New Roman"/>
          <w:b/>
          <w:sz w:val="28"/>
          <w:szCs w:val="28"/>
        </w:rPr>
        <w:t>Павловского сельского поселения Павловского</w:t>
      </w:r>
      <w:r w:rsidR="00803150" w:rsidRPr="00A17737">
        <w:rPr>
          <w:rFonts w:ascii="Times New Roman" w:hAnsi="Times New Roman"/>
          <w:b/>
          <w:sz w:val="28"/>
          <w:szCs w:val="28"/>
        </w:rPr>
        <w:t xml:space="preserve"> </w:t>
      </w:r>
      <w:r w:rsidRPr="00A17737">
        <w:rPr>
          <w:rFonts w:ascii="Times New Roman" w:hAnsi="Times New Roman"/>
          <w:b/>
          <w:sz w:val="28"/>
          <w:szCs w:val="28"/>
        </w:rPr>
        <w:t>района</w:t>
      </w:r>
    </w:p>
    <w:p w:rsidR="0037327B" w:rsidRPr="00A17737" w:rsidRDefault="0037327B" w:rsidP="00525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327B" w:rsidRPr="00E3780E" w:rsidRDefault="0037327B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F6B" w:rsidRPr="00E3780E" w:rsidRDefault="00E3780E" w:rsidP="0052563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F6B" w:rsidRPr="00E3780E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</w:t>
      </w:r>
      <w:r w:rsidR="005C4F6B" w:rsidRPr="00E3780E">
        <w:rPr>
          <w:rFonts w:ascii="Times New Roman" w:hAnsi="Times New Roman"/>
          <w:kern w:val="3"/>
          <w:sz w:val="28"/>
          <w:szCs w:val="28"/>
        </w:rPr>
        <w:t xml:space="preserve">муниципального образования Павловский район на 2017 год проведено контрольное мероприятие </w:t>
      </w:r>
      <w:r w:rsidR="00525634">
        <w:rPr>
          <w:rFonts w:ascii="Times New Roman" w:hAnsi="Times New Roman"/>
          <w:kern w:val="3"/>
          <w:sz w:val="28"/>
          <w:szCs w:val="28"/>
        </w:rPr>
        <w:t xml:space="preserve">по проверке </w:t>
      </w:r>
      <w:r w:rsidR="005C4F6B" w:rsidRPr="00E3780E">
        <w:rPr>
          <w:rFonts w:ascii="Times New Roman" w:hAnsi="Times New Roman"/>
          <w:bCs/>
          <w:sz w:val="28"/>
          <w:szCs w:val="28"/>
        </w:rPr>
        <w:t xml:space="preserve">отдельных вопросов финансово-хозяйственной деятельности за 2016 год в муниципальном автономном учреждении </w:t>
      </w:r>
      <w:r w:rsidR="00525634">
        <w:rPr>
          <w:rFonts w:ascii="Times New Roman" w:hAnsi="Times New Roman"/>
          <w:bCs/>
          <w:sz w:val="28"/>
          <w:szCs w:val="28"/>
        </w:rPr>
        <w:t xml:space="preserve">(МАУ) </w:t>
      </w:r>
      <w:r w:rsidR="005C4F6B" w:rsidRPr="00E3780E">
        <w:rPr>
          <w:rFonts w:ascii="Times New Roman" w:hAnsi="Times New Roman"/>
          <w:bCs/>
          <w:sz w:val="28"/>
          <w:szCs w:val="28"/>
        </w:rPr>
        <w:t>«Досуговый центр кино» Павловского сельского поселения Павловского района.</w:t>
      </w:r>
    </w:p>
    <w:p w:rsidR="005C4F6B" w:rsidRPr="00E3780E" w:rsidRDefault="00E3780E" w:rsidP="00525634">
      <w:pPr>
        <w:pStyle w:val="a3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F6B" w:rsidRPr="00E3780E">
        <w:rPr>
          <w:rFonts w:ascii="Times New Roman" w:hAnsi="Times New Roman"/>
          <w:sz w:val="28"/>
          <w:szCs w:val="28"/>
        </w:rPr>
        <w:t>По результатам мероприятия подготовлен акт проверки от 02 июня 2017 года, который подписан без разногласий 06</w:t>
      </w:r>
      <w:r w:rsidR="00525634">
        <w:rPr>
          <w:rFonts w:ascii="Times New Roman" w:hAnsi="Times New Roman"/>
          <w:sz w:val="28"/>
          <w:szCs w:val="28"/>
        </w:rPr>
        <w:t xml:space="preserve"> июня </w:t>
      </w:r>
      <w:r w:rsidR="005C4F6B" w:rsidRPr="00E3780E">
        <w:rPr>
          <w:rFonts w:ascii="Times New Roman" w:hAnsi="Times New Roman"/>
          <w:sz w:val="28"/>
          <w:szCs w:val="28"/>
        </w:rPr>
        <w:t xml:space="preserve">2017 года. </w:t>
      </w:r>
      <w:r w:rsidR="005C4F6B" w:rsidRPr="00E3780E">
        <w:rPr>
          <w:rFonts w:ascii="Times New Roman" w:hAnsi="Times New Roman"/>
          <w:spacing w:val="-14"/>
          <w:sz w:val="28"/>
          <w:szCs w:val="28"/>
        </w:rPr>
        <w:t xml:space="preserve">  </w:t>
      </w:r>
    </w:p>
    <w:p w:rsidR="005C4F6B" w:rsidRPr="00E3780E" w:rsidRDefault="00E3780E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ab/>
      </w:r>
      <w:r w:rsidR="005C4F6B" w:rsidRPr="00E3780E">
        <w:rPr>
          <w:rFonts w:ascii="Times New Roman" w:hAnsi="Times New Roman"/>
          <w:spacing w:val="-14"/>
          <w:sz w:val="28"/>
          <w:szCs w:val="28"/>
        </w:rPr>
        <w:t xml:space="preserve">В результате проверки </w:t>
      </w:r>
      <w:r w:rsidR="005C4F6B" w:rsidRPr="00E3780E">
        <w:rPr>
          <w:rFonts w:ascii="Times New Roman" w:hAnsi="Times New Roman"/>
          <w:sz w:val="28"/>
          <w:szCs w:val="28"/>
        </w:rPr>
        <w:t xml:space="preserve">установлены следующие нарушения: </w:t>
      </w:r>
    </w:p>
    <w:p w:rsidR="005C4F6B" w:rsidRPr="00E3780E" w:rsidRDefault="00E3780E" w:rsidP="00525634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ab/>
        <w:t xml:space="preserve">1. </w:t>
      </w:r>
      <w:proofErr w:type="gramStart"/>
      <w:r w:rsidR="005C4F6B" w:rsidRPr="00E3780E">
        <w:rPr>
          <w:rFonts w:ascii="Times New Roman" w:hAnsi="Times New Roman"/>
          <w:kern w:val="3"/>
          <w:sz w:val="28"/>
          <w:szCs w:val="28"/>
        </w:rPr>
        <w:t xml:space="preserve">В нарушение </w:t>
      </w:r>
      <w:r w:rsidR="002919A2">
        <w:rPr>
          <w:rFonts w:ascii="Times New Roman" w:hAnsi="Times New Roman"/>
          <w:kern w:val="3"/>
          <w:sz w:val="28"/>
          <w:szCs w:val="28"/>
        </w:rPr>
        <w:t>отдельных норм</w:t>
      </w:r>
      <w:r w:rsidR="005C4F6B" w:rsidRPr="00E3780E">
        <w:rPr>
          <w:rFonts w:ascii="Times New Roman" w:hAnsi="Times New Roman"/>
          <w:kern w:val="3"/>
          <w:sz w:val="28"/>
          <w:szCs w:val="28"/>
        </w:rPr>
        <w:t xml:space="preserve"> Федерального закона Российской Федерации № 174-ФЗ «Об автономных учреждениях» и </w:t>
      </w:r>
      <w:r w:rsidR="002919A2">
        <w:rPr>
          <w:rFonts w:ascii="Times New Roman" w:hAnsi="Times New Roman"/>
          <w:kern w:val="3"/>
          <w:sz w:val="28"/>
          <w:szCs w:val="28"/>
        </w:rPr>
        <w:t>положений</w:t>
      </w:r>
      <w:r w:rsidR="005C4F6B" w:rsidRPr="00E3780E">
        <w:rPr>
          <w:rFonts w:ascii="Times New Roman" w:hAnsi="Times New Roman"/>
          <w:kern w:val="3"/>
          <w:sz w:val="28"/>
          <w:szCs w:val="28"/>
        </w:rPr>
        <w:t xml:space="preserve"> Устава, муниципальным заданием на 2016 год МАУ «Досуговый центр кино» доведены объемы муниципальной услуги </w:t>
      </w:r>
      <w:r w:rsidR="002919A2">
        <w:rPr>
          <w:rFonts w:ascii="Times New Roman" w:hAnsi="Times New Roman"/>
          <w:kern w:val="3"/>
          <w:sz w:val="28"/>
          <w:szCs w:val="28"/>
        </w:rPr>
        <w:t>«</w:t>
      </w:r>
      <w:r w:rsidR="005C4F6B" w:rsidRPr="002919A2">
        <w:rPr>
          <w:rFonts w:ascii="Times New Roman" w:hAnsi="Times New Roman"/>
          <w:kern w:val="3"/>
          <w:sz w:val="28"/>
          <w:szCs w:val="28"/>
        </w:rPr>
        <w:t>показ кинофильмов</w:t>
      </w:r>
      <w:r w:rsidR="002919A2">
        <w:rPr>
          <w:rFonts w:ascii="Times New Roman" w:hAnsi="Times New Roman"/>
          <w:kern w:val="3"/>
          <w:sz w:val="28"/>
          <w:szCs w:val="28"/>
        </w:rPr>
        <w:t>»</w:t>
      </w:r>
      <w:r w:rsidR="005C4F6B" w:rsidRPr="00E3780E">
        <w:rPr>
          <w:rFonts w:ascii="Times New Roman" w:hAnsi="Times New Roman"/>
          <w:kern w:val="3"/>
          <w:sz w:val="28"/>
          <w:szCs w:val="28"/>
        </w:rPr>
        <w:t>, которая не соответствует видам деятельности, предусмотренных Уставом, и не отнесена к основной деятельности Учреждения.</w:t>
      </w:r>
      <w:proofErr w:type="gramEnd"/>
    </w:p>
    <w:p w:rsidR="005C4F6B" w:rsidRPr="00E3780E" w:rsidRDefault="005C4F6B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780E">
        <w:rPr>
          <w:rFonts w:ascii="Times New Roman" w:hAnsi="Times New Roman"/>
          <w:kern w:val="3"/>
          <w:sz w:val="28"/>
          <w:szCs w:val="28"/>
        </w:rPr>
        <w:tab/>
        <w:t>Во время проверки МАУ «Досуговый центр кино» совместно с учредителем подготовлен проект Устава в новой редакции, который приведен в соответствие с действующим законодательством.</w:t>
      </w:r>
    </w:p>
    <w:p w:rsidR="005C4F6B" w:rsidRPr="00E3780E" w:rsidRDefault="002919A2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E3780E" w:rsidRPr="00E3780E">
        <w:rPr>
          <w:rFonts w:ascii="Times New Roman" w:hAnsi="Times New Roman"/>
          <w:sz w:val="28"/>
          <w:szCs w:val="28"/>
        </w:rPr>
        <w:t>Выявлены</w:t>
      </w:r>
      <w:r w:rsidR="005C4F6B" w:rsidRPr="00E3780E">
        <w:rPr>
          <w:rFonts w:ascii="Times New Roman" w:hAnsi="Times New Roman"/>
          <w:sz w:val="28"/>
          <w:szCs w:val="28"/>
        </w:rPr>
        <w:t xml:space="preserve"> случаи превышения установленной ежемесячной нормы расхода горюче-смазочных материалов (ГСМ), что повлекло неэффективное расходование ГСМ на сумму 18</w:t>
      </w:r>
      <w:r w:rsidR="00E3780E" w:rsidRPr="00E3780E">
        <w:rPr>
          <w:rFonts w:ascii="Times New Roman" w:hAnsi="Times New Roman"/>
          <w:sz w:val="28"/>
          <w:szCs w:val="28"/>
        </w:rPr>
        <w:t>,</w:t>
      </w:r>
      <w:r w:rsidR="005C4F6B" w:rsidRPr="00E3780E">
        <w:rPr>
          <w:rFonts w:ascii="Times New Roman" w:hAnsi="Times New Roman"/>
          <w:sz w:val="28"/>
          <w:szCs w:val="28"/>
        </w:rPr>
        <w:t>6</w:t>
      </w:r>
      <w:r w:rsidR="00E3780E" w:rsidRPr="00E3780E">
        <w:rPr>
          <w:rFonts w:ascii="Times New Roman" w:hAnsi="Times New Roman"/>
          <w:sz w:val="28"/>
          <w:szCs w:val="28"/>
        </w:rPr>
        <w:t xml:space="preserve"> тыс.</w:t>
      </w:r>
      <w:r w:rsidR="005C4F6B" w:rsidRPr="00E3780E">
        <w:rPr>
          <w:rFonts w:ascii="Times New Roman" w:hAnsi="Times New Roman"/>
          <w:sz w:val="28"/>
          <w:szCs w:val="28"/>
        </w:rPr>
        <w:t xml:space="preserve"> рублей.</w:t>
      </w:r>
    </w:p>
    <w:p w:rsidR="005C4F6B" w:rsidRPr="00E3780E" w:rsidRDefault="002919A2" w:rsidP="00525634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ab/>
      </w:r>
      <w:r w:rsidR="005C4F6B" w:rsidRPr="00E3780E">
        <w:rPr>
          <w:rFonts w:ascii="Times New Roman" w:hAnsi="Times New Roman"/>
          <w:kern w:val="3"/>
          <w:sz w:val="28"/>
          <w:szCs w:val="28"/>
        </w:rPr>
        <w:t xml:space="preserve">3. В ходе инвентаризации имущества </w:t>
      </w:r>
      <w:r w:rsidR="00E3780E" w:rsidRPr="00E3780E">
        <w:rPr>
          <w:rFonts w:ascii="Times New Roman" w:hAnsi="Times New Roman"/>
          <w:kern w:val="3"/>
          <w:sz w:val="28"/>
          <w:szCs w:val="28"/>
        </w:rPr>
        <w:t xml:space="preserve">установлены </w:t>
      </w:r>
      <w:r w:rsidR="005C4F6B" w:rsidRPr="00E3780E">
        <w:rPr>
          <w:rFonts w:ascii="Times New Roman" w:hAnsi="Times New Roman"/>
          <w:kern w:val="3"/>
          <w:sz w:val="28"/>
          <w:szCs w:val="28"/>
        </w:rPr>
        <w:t>случаи неэффективного использования отдельных объектов движимого и недвижимого имущества</w:t>
      </w:r>
      <w:r w:rsidR="00E3780E" w:rsidRPr="00E3780E">
        <w:rPr>
          <w:rFonts w:ascii="Times New Roman" w:hAnsi="Times New Roman"/>
          <w:kern w:val="3"/>
          <w:sz w:val="28"/>
          <w:szCs w:val="28"/>
        </w:rPr>
        <w:t>.</w:t>
      </w:r>
    </w:p>
    <w:p w:rsidR="00E3780E" w:rsidRPr="00E3780E" w:rsidRDefault="002919A2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F6B" w:rsidRPr="00E3780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C4F6B" w:rsidRPr="00E3780E">
        <w:rPr>
          <w:rFonts w:ascii="Times New Roman" w:hAnsi="Times New Roman"/>
          <w:sz w:val="28"/>
          <w:szCs w:val="28"/>
        </w:rPr>
        <w:t>При составлении годовой бухгалтерской отчетности за 2016 год Учреждением  нарушены требования  отдельных положений БК РФ, Федерального закона от 06.12.2011 №  402-ФЗ «О бухгалтерском учете», Инструкции 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33н, Инструкции по применению Единого плана счетов бухгалтерского учета для органов государственной власти (государственных</w:t>
      </w:r>
      <w:proofErr w:type="gramEnd"/>
      <w:r w:rsidR="005C4F6B" w:rsidRPr="00E3780E">
        <w:rPr>
          <w:rFonts w:ascii="Times New Roman" w:hAnsi="Times New Roman"/>
          <w:sz w:val="28"/>
          <w:szCs w:val="28"/>
        </w:rPr>
        <w:t xml:space="preserve">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№ 157н. </w:t>
      </w:r>
    </w:p>
    <w:p w:rsidR="005C4F6B" w:rsidRPr="00E3780E" w:rsidRDefault="002919A2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780E" w:rsidRPr="00E3780E">
        <w:rPr>
          <w:rFonts w:ascii="Times New Roman" w:hAnsi="Times New Roman"/>
          <w:sz w:val="28"/>
          <w:szCs w:val="28"/>
        </w:rPr>
        <w:t xml:space="preserve">В результате чего, </w:t>
      </w:r>
      <w:r w:rsidR="005C4F6B" w:rsidRPr="00E3780E">
        <w:rPr>
          <w:rFonts w:ascii="Times New Roman" w:hAnsi="Times New Roman"/>
          <w:sz w:val="28"/>
          <w:szCs w:val="28"/>
        </w:rPr>
        <w:t xml:space="preserve">Учреждением допущено грубое нарушение требований к бухгалтерскому учету, в том числе к бухгалтерской (финансовой отчетности), т. е. искажение любого показателя бухгалтерской </w:t>
      </w:r>
      <w:r w:rsidR="005C4F6B" w:rsidRPr="00E3780E">
        <w:rPr>
          <w:rFonts w:ascii="Times New Roman" w:hAnsi="Times New Roman"/>
          <w:sz w:val="28"/>
          <w:szCs w:val="28"/>
        </w:rPr>
        <w:lastRenderedPageBreak/>
        <w:t>(финансовой)  отчетности, выраженного в денежном измерении, не менее 10 процентов</w:t>
      </w:r>
      <w:r w:rsidR="00E3780E" w:rsidRPr="00E3780E">
        <w:rPr>
          <w:rFonts w:ascii="Times New Roman" w:hAnsi="Times New Roman"/>
          <w:sz w:val="28"/>
          <w:szCs w:val="28"/>
        </w:rPr>
        <w:t>, в следующих формах:</w:t>
      </w:r>
    </w:p>
    <w:p w:rsidR="00E3780E" w:rsidRPr="00E3780E" w:rsidRDefault="002919A2" w:rsidP="00525634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- в «Справке о наличии имущества и обязательств на </w:t>
      </w:r>
      <w:proofErr w:type="spellStart"/>
      <w:r w:rsidR="00E3780E" w:rsidRPr="00E3780E">
        <w:rPr>
          <w:rFonts w:ascii="Times New Roman" w:hAnsi="Times New Roman"/>
          <w:sz w:val="28"/>
          <w:szCs w:val="28"/>
          <w:lang w:eastAsia="ar-SA"/>
        </w:rPr>
        <w:t>забалансовых</w:t>
      </w:r>
      <w:proofErr w:type="spellEnd"/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 счетах» (ф. 0503730) на </w:t>
      </w:r>
      <w:proofErr w:type="spellStart"/>
      <w:r w:rsidR="00E3780E" w:rsidRPr="00E3780E">
        <w:rPr>
          <w:rFonts w:ascii="Times New Roman" w:hAnsi="Times New Roman"/>
          <w:sz w:val="28"/>
          <w:szCs w:val="28"/>
          <w:lang w:eastAsia="ar-SA"/>
        </w:rPr>
        <w:t>забалансовых</w:t>
      </w:r>
      <w:proofErr w:type="spellEnd"/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 счетах 25 и 26 не отражена обязательная информация в денежном выражении об имуществе, переданном в возмездное пользование (аренду) и об имуществе, переданном в безвозмездное пользование (</w:t>
      </w:r>
      <w:r w:rsidR="00E3780E" w:rsidRPr="00E3780E">
        <w:rPr>
          <w:rFonts w:ascii="Times New Roman" w:hAnsi="Times New Roman"/>
          <w:sz w:val="28"/>
          <w:szCs w:val="28"/>
        </w:rPr>
        <w:t>69165,13 рублей</w:t>
      </w:r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E3780E" w:rsidRPr="00E3780E">
        <w:rPr>
          <w:rFonts w:ascii="Times New Roman" w:hAnsi="Times New Roman"/>
          <w:sz w:val="28"/>
          <w:szCs w:val="28"/>
        </w:rPr>
        <w:t>265011,66 рублей,</w:t>
      </w:r>
      <w:r w:rsidR="00E3780E" w:rsidRPr="00E3780E">
        <w:rPr>
          <w:rFonts w:ascii="Times New Roman" w:hAnsi="Times New Roman"/>
          <w:b/>
          <w:sz w:val="28"/>
          <w:szCs w:val="28"/>
        </w:rPr>
        <w:t xml:space="preserve"> </w:t>
      </w:r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соответственно). Следовательно, в Справке наличии имущества и обязательств на </w:t>
      </w:r>
      <w:proofErr w:type="spellStart"/>
      <w:r w:rsidR="00E3780E" w:rsidRPr="00E3780E">
        <w:rPr>
          <w:rFonts w:ascii="Times New Roman" w:hAnsi="Times New Roman"/>
          <w:sz w:val="28"/>
          <w:szCs w:val="28"/>
          <w:lang w:eastAsia="ar-SA"/>
        </w:rPr>
        <w:t>забалансовых</w:t>
      </w:r>
      <w:proofErr w:type="spellEnd"/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 счетах к Балансу (ф. 0503730). Допущено искажение показателей по графам 5,7,9,11 строк 250, 260, соответственно;</w:t>
      </w:r>
      <w:r w:rsidR="00E3780E" w:rsidRPr="00E3780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E3780E" w:rsidRDefault="002919A2" w:rsidP="00525634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="00E3780E" w:rsidRPr="00E3780E">
        <w:rPr>
          <w:rFonts w:ascii="Times New Roman" w:hAnsi="Times New Roman"/>
          <w:sz w:val="28"/>
          <w:szCs w:val="28"/>
          <w:lang w:eastAsia="ar-SA"/>
        </w:rPr>
        <w:t xml:space="preserve">- в Пояснительной записке к Балансу учреждения  (ф. 0503760)  </w:t>
      </w:r>
      <w:r w:rsidR="00E3780E" w:rsidRPr="00E3780E">
        <w:rPr>
          <w:rFonts w:ascii="Times New Roman" w:hAnsi="Times New Roman"/>
          <w:kern w:val="3"/>
          <w:sz w:val="28"/>
          <w:szCs w:val="28"/>
        </w:rPr>
        <w:t xml:space="preserve">в Сведениях о движении нефинансовых активов учреждения на 1 января 2017 года (ф. 0503768)  в части субсидий на выполнение государственного (муниципального) задания отсутствует обязательная информация по </w:t>
      </w:r>
      <w:proofErr w:type="spellStart"/>
      <w:r w:rsidR="00E3780E" w:rsidRPr="00E3780E">
        <w:rPr>
          <w:rFonts w:ascii="Times New Roman" w:hAnsi="Times New Roman"/>
          <w:kern w:val="3"/>
          <w:sz w:val="28"/>
          <w:szCs w:val="28"/>
        </w:rPr>
        <w:t>забалансовым</w:t>
      </w:r>
      <w:proofErr w:type="spellEnd"/>
      <w:r w:rsidR="00E3780E" w:rsidRPr="00E3780E">
        <w:rPr>
          <w:rFonts w:ascii="Times New Roman" w:hAnsi="Times New Roman"/>
          <w:kern w:val="3"/>
          <w:sz w:val="28"/>
          <w:szCs w:val="28"/>
        </w:rPr>
        <w:t xml:space="preserve"> счетам  25 </w:t>
      </w:r>
      <w:r w:rsidR="00E3780E" w:rsidRPr="00E3780E">
        <w:rPr>
          <w:rFonts w:ascii="Times New Roman" w:hAnsi="Times New Roman"/>
          <w:sz w:val="28"/>
          <w:szCs w:val="28"/>
        </w:rPr>
        <w:t>«Имущество, переданное в возмездное пользование (аренду)» в сумме 69165,13 рублей, а также 26 «Имущество, переданное в безвозмездное пользование» в сумме 265011,66 рублей:</w:t>
      </w:r>
      <w:r w:rsidR="00E3780E" w:rsidRPr="00E3780E">
        <w:rPr>
          <w:rFonts w:ascii="Times New Roman" w:hAnsi="Times New Roman"/>
          <w:b/>
          <w:sz w:val="28"/>
          <w:szCs w:val="28"/>
        </w:rPr>
        <w:t xml:space="preserve"> </w:t>
      </w:r>
      <w:r w:rsidR="00E3780E" w:rsidRPr="00E3780E">
        <w:rPr>
          <w:rFonts w:ascii="Times New Roman" w:hAnsi="Times New Roman"/>
          <w:sz w:val="28"/>
          <w:szCs w:val="28"/>
        </w:rPr>
        <w:t>на</w:t>
      </w:r>
      <w:proofErr w:type="gramEnd"/>
      <w:r w:rsidR="00E3780E" w:rsidRPr="00E3780E">
        <w:rPr>
          <w:rFonts w:ascii="Times New Roman" w:hAnsi="Times New Roman"/>
          <w:sz w:val="28"/>
          <w:szCs w:val="28"/>
        </w:rPr>
        <w:t xml:space="preserve"> начало отчетного года и конец отчетного финансового года  (графы 4, 7, соответственно), а также увеличение и уменьшение показателей, отраженных на </w:t>
      </w:r>
      <w:proofErr w:type="spellStart"/>
      <w:r w:rsidR="00E3780E" w:rsidRPr="00E3780E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="00E3780E" w:rsidRPr="00E3780E">
        <w:rPr>
          <w:rFonts w:ascii="Times New Roman" w:hAnsi="Times New Roman"/>
          <w:sz w:val="28"/>
          <w:szCs w:val="28"/>
        </w:rPr>
        <w:t xml:space="preserve"> счетах учреждения (графы 5, 6, соответственно). Следовательно, в </w:t>
      </w:r>
      <w:r w:rsidR="00E3780E" w:rsidRPr="00E3780E">
        <w:rPr>
          <w:rFonts w:ascii="Times New Roman" w:hAnsi="Times New Roman"/>
          <w:kern w:val="3"/>
          <w:sz w:val="28"/>
          <w:szCs w:val="28"/>
        </w:rPr>
        <w:t xml:space="preserve">Сведениях о движении нефинансовых активов учреждения на 1 января 2017 года (ф. 0503768) допущено искажение показателей по строкам 250 и 260 по </w:t>
      </w:r>
      <w:proofErr w:type="spellStart"/>
      <w:r w:rsidR="00E3780E" w:rsidRPr="00E3780E">
        <w:rPr>
          <w:rFonts w:ascii="Times New Roman" w:hAnsi="Times New Roman"/>
          <w:kern w:val="3"/>
          <w:sz w:val="28"/>
          <w:szCs w:val="28"/>
        </w:rPr>
        <w:t>забалансовым</w:t>
      </w:r>
      <w:proofErr w:type="spellEnd"/>
      <w:r w:rsidR="00E3780E" w:rsidRPr="00E3780E">
        <w:rPr>
          <w:rFonts w:ascii="Times New Roman" w:hAnsi="Times New Roman"/>
          <w:kern w:val="3"/>
          <w:sz w:val="28"/>
          <w:szCs w:val="28"/>
        </w:rPr>
        <w:t xml:space="preserve"> счетам 25 и 26.</w:t>
      </w:r>
    </w:p>
    <w:p w:rsidR="002919A2" w:rsidRPr="00DF2C96" w:rsidRDefault="002919A2" w:rsidP="0052563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C96">
        <w:rPr>
          <w:rFonts w:ascii="Times New Roman" w:hAnsi="Times New Roman" w:cs="Times New Roman"/>
          <w:sz w:val="28"/>
          <w:szCs w:val="28"/>
        </w:rPr>
        <w:t>В отношении должностного лица - главного бухгалтера  МАУ «Досуговый центр кино» Павловского сельского поселения Павловского района составлен протокол об</w:t>
      </w:r>
      <w:r w:rsidRPr="00DF2C96">
        <w:rPr>
          <w:sz w:val="28"/>
          <w:szCs w:val="28"/>
        </w:rPr>
        <w:t xml:space="preserve"> </w:t>
      </w:r>
      <w:r w:rsidRPr="00DF2C96">
        <w:rPr>
          <w:rFonts w:ascii="Times New Roman" w:hAnsi="Times New Roman" w:cs="Times New Roman"/>
          <w:sz w:val="28"/>
          <w:szCs w:val="28"/>
        </w:rPr>
        <w:t>административном правонарушении, предусмотренного статьей 15.11 Кодекса Российской Федерации об административных правонарушениях.</w:t>
      </w:r>
    </w:p>
    <w:p w:rsidR="002919A2" w:rsidRPr="00FF7D28" w:rsidRDefault="002919A2" w:rsidP="0052563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7D28">
        <w:rPr>
          <w:rFonts w:ascii="Times New Roman" w:hAnsi="Times New Roman"/>
          <w:sz w:val="28"/>
          <w:szCs w:val="28"/>
        </w:rPr>
        <w:t xml:space="preserve">По результатам проверки,  руководителю </w:t>
      </w:r>
      <w:r w:rsidRPr="00DF2C96">
        <w:rPr>
          <w:rFonts w:ascii="Times New Roman" w:hAnsi="Times New Roman"/>
          <w:sz w:val="28"/>
          <w:szCs w:val="28"/>
        </w:rPr>
        <w:t xml:space="preserve">МАУ «Досуговый центр кино» </w:t>
      </w:r>
      <w:r w:rsidRPr="00FF7D28">
        <w:rPr>
          <w:rFonts w:ascii="Times New Roman" w:hAnsi="Times New Roman"/>
          <w:sz w:val="28"/>
          <w:szCs w:val="28"/>
        </w:rPr>
        <w:t xml:space="preserve"> Павловского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F7D28">
        <w:rPr>
          <w:rFonts w:ascii="Times New Roman" w:hAnsi="Times New Roman"/>
          <w:sz w:val="28"/>
          <w:szCs w:val="28"/>
        </w:rPr>
        <w:t>нап</w:t>
      </w:r>
      <w:r w:rsidRPr="00FF7D28">
        <w:rPr>
          <w:rFonts w:ascii="Times New Roman" w:hAnsi="Times New Roman"/>
          <w:iCs/>
          <w:sz w:val="28"/>
          <w:szCs w:val="28"/>
        </w:rPr>
        <w:t>равлено представление Контрольно-счетной палаты для принятия мер по устранению выявленных нарушений.</w:t>
      </w:r>
    </w:p>
    <w:p w:rsidR="002919A2" w:rsidRPr="002919A2" w:rsidRDefault="002919A2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A92" w:rsidRPr="002919A2">
        <w:rPr>
          <w:rFonts w:ascii="Times New Roman" w:hAnsi="Times New Roman"/>
          <w:sz w:val="28"/>
          <w:szCs w:val="28"/>
        </w:rPr>
        <w:t>Информация о результатах рассмотрения представления и приняты</w:t>
      </w:r>
      <w:r w:rsidRPr="002919A2">
        <w:rPr>
          <w:rFonts w:ascii="Times New Roman" w:hAnsi="Times New Roman"/>
          <w:sz w:val="28"/>
          <w:szCs w:val="28"/>
        </w:rPr>
        <w:t>х решениях и мерах предоставлена</w:t>
      </w:r>
      <w:r w:rsidR="00642A92" w:rsidRPr="002919A2">
        <w:rPr>
          <w:rFonts w:ascii="Times New Roman" w:hAnsi="Times New Roman"/>
          <w:sz w:val="28"/>
          <w:szCs w:val="28"/>
        </w:rPr>
        <w:t xml:space="preserve"> </w:t>
      </w:r>
      <w:r w:rsidR="00FF7D28" w:rsidRPr="002919A2">
        <w:rPr>
          <w:rFonts w:ascii="Times New Roman" w:hAnsi="Times New Roman"/>
          <w:sz w:val="28"/>
          <w:szCs w:val="28"/>
        </w:rPr>
        <w:t>руководителем Учреждения</w:t>
      </w:r>
      <w:r w:rsidR="00642A92" w:rsidRPr="002919A2">
        <w:rPr>
          <w:rFonts w:ascii="Times New Roman" w:hAnsi="Times New Roman"/>
          <w:sz w:val="28"/>
          <w:szCs w:val="28"/>
        </w:rPr>
        <w:t xml:space="preserve"> в </w:t>
      </w:r>
      <w:r w:rsidR="00642A92" w:rsidRPr="002919A2">
        <w:rPr>
          <w:rFonts w:ascii="Times New Roman" w:hAnsi="Times New Roman"/>
          <w:iCs/>
          <w:sz w:val="28"/>
          <w:szCs w:val="28"/>
        </w:rPr>
        <w:t>Контрольно-счетную палату</w:t>
      </w:r>
      <w:r w:rsidR="00007319" w:rsidRPr="002919A2">
        <w:rPr>
          <w:rFonts w:ascii="Times New Roman" w:hAnsi="Times New Roman"/>
          <w:iCs/>
          <w:sz w:val="28"/>
          <w:szCs w:val="28"/>
        </w:rPr>
        <w:t>,</w:t>
      </w:r>
      <w:r w:rsidR="00642A92" w:rsidRPr="002919A2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531DB4" w:rsidRPr="002919A2" w:rsidRDefault="002919A2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7319" w:rsidRPr="002919A2">
        <w:rPr>
          <w:rFonts w:ascii="Times New Roman" w:hAnsi="Times New Roman"/>
          <w:sz w:val="28"/>
          <w:szCs w:val="28"/>
        </w:rPr>
        <w:t>О</w:t>
      </w:r>
      <w:r w:rsidR="00642A92" w:rsidRPr="002919A2">
        <w:rPr>
          <w:rFonts w:ascii="Times New Roman" w:hAnsi="Times New Roman"/>
          <w:sz w:val="28"/>
          <w:szCs w:val="28"/>
        </w:rPr>
        <w:t xml:space="preserve"> результатах проверки </w:t>
      </w:r>
      <w:r w:rsidR="00007319" w:rsidRPr="002919A2">
        <w:rPr>
          <w:rFonts w:ascii="Times New Roman" w:hAnsi="Times New Roman"/>
          <w:sz w:val="28"/>
          <w:szCs w:val="28"/>
        </w:rPr>
        <w:t xml:space="preserve">проинформирован </w:t>
      </w:r>
      <w:r w:rsidR="00642A92" w:rsidRPr="002919A2">
        <w:rPr>
          <w:rFonts w:ascii="Times New Roman" w:hAnsi="Times New Roman"/>
          <w:sz w:val="28"/>
          <w:szCs w:val="28"/>
        </w:rPr>
        <w:t>глав</w:t>
      </w:r>
      <w:r w:rsidR="00007319" w:rsidRPr="002919A2">
        <w:rPr>
          <w:rFonts w:ascii="Times New Roman" w:hAnsi="Times New Roman"/>
          <w:sz w:val="28"/>
          <w:szCs w:val="28"/>
        </w:rPr>
        <w:t>а</w:t>
      </w:r>
      <w:r w:rsidR="00642A92" w:rsidRPr="002919A2">
        <w:rPr>
          <w:rFonts w:ascii="Times New Roman" w:hAnsi="Times New Roman"/>
          <w:sz w:val="28"/>
          <w:szCs w:val="28"/>
        </w:rPr>
        <w:t xml:space="preserve"> Павловск</w:t>
      </w:r>
      <w:r w:rsidR="00FF7D28" w:rsidRPr="002919A2">
        <w:rPr>
          <w:rFonts w:ascii="Times New Roman" w:hAnsi="Times New Roman"/>
          <w:sz w:val="28"/>
          <w:szCs w:val="28"/>
        </w:rPr>
        <w:t>ого</w:t>
      </w:r>
      <w:r w:rsidR="00642A92" w:rsidRPr="002919A2">
        <w:rPr>
          <w:rFonts w:ascii="Times New Roman" w:hAnsi="Times New Roman"/>
          <w:sz w:val="28"/>
          <w:szCs w:val="28"/>
        </w:rPr>
        <w:t xml:space="preserve"> </w:t>
      </w:r>
      <w:r w:rsidR="00FF7D28" w:rsidRPr="002919A2">
        <w:rPr>
          <w:rFonts w:ascii="Times New Roman" w:hAnsi="Times New Roman"/>
          <w:sz w:val="28"/>
          <w:szCs w:val="28"/>
        </w:rPr>
        <w:t xml:space="preserve">сельского поселения Павловского района и </w:t>
      </w:r>
      <w:r w:rsidR="00642A92" w:rsidRPr="002919A2">
        <w:rPr>
          <w:rFonts w:ascii="Times New Roman" w:hAnsi="Times New Roman"/>
          <w:sz w:val="28"/>
          <w:szCs w:val="28"/>
        </w:rPr>
        <w:t>председател</w:t>
      </w:r>
      <w:r w:rsidR="00007319" w:rsidRPr="002919A2">
        <w:rPr>
          <w:rFonts w:ascii="Times New Roman" w:hAnsi="Times New Roman"/>
          <w:sz w:val="28"/>
          <w:szCs w:val="28"/>
        </w:rPr>
        <w:t>ь</w:t>
      </w:r>
      <w:r w:rsidR="00642A92" w:rsidRPr="002919A2">
        <w:rPr>
          <w:rFonts w:ascii="Times New Roman" w:hAnsi="Times New Roman"/>
          <w:sz w:val="28"/>
          <w:szCs w:val="28"/>
        </w:rPr>
        <w:t xml:space="preserve"> Совета </w:t>
      </w:r>
      <w:r w:rsidR="00FF7D28" w:rsidRPr="002919A2">
        <w:rPr>
          <w:rFonts w:ascii="Times New Roman" w:hAnsi="Times New Roman"/>
          <w:sz w:val="28"/>
          <w:szCs w:val="28"/>
        </w:rPr>
        <w:t>Павловского сельского поселения Павловского района.</w:t>
      </w:r>
      <w:bookmarkEnd w:id="0"/>
    </w:p>
    <w:sectPr w:rsidR="00531DB4" w:rsidRPr="0029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6894"/>
    <w:multiLevelType w:val="hybridMultilevel"/>
    <w:tmpl w:val="366E60DA"/>
    <w:lvl w:ilvl="0" w:tplc="F20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1D1B10"/>
    <w:rsid w:val="002919A2"/>
    <w:rsid w:val="0037327B"/>
    <w:rsid w:val="00434E96"/>
    <w:rsid w:val="00525634"/>
    <w:rsid w:val="00531DB4"/>
    <w:rsid w:val="005C4F6B"/>
    <w:rsid w:val="00642A92"/>
    <w:rsid w:val="007064FD"/>
    <w:rsid w:val="007B62A8"/>
    <w:rsid w:val="00803150"/>
    <w:rsid w:val="00890F1D"/>
    <w:rsid w:val="00A17737"/>
    <w:rsid w:val="00AE7571"/>
    <w:rsid w:val="00B97FE1"/>
    <w:rsid w:val="00E3780E"/>
    <w:rsid w:val="00ED0C9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11</cp:revision>
  <dcterms:created xsi:type="dcterms:W3CDTF">2017-06-26T14:03:00Z</dcterms:created>
  <dcterms:modified xsi:type="dcterms:W3CDTF">2019-05-14T09:52:00Z</dcterms:modified>
</cp:coreProperties>
</file>