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Что делать родителям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?</w:t>
      </w:r>
    </w:p>
    <w:p>
      <w:pPr>
        <w:ind w:firstLine="0"/>
        <w:jc w:val="left"/>
        <w:rPr>
          <w:rFonts w:ascii="Times New Roman" w:eastAsia="Times New Roman" w:hAnsi="Times New Roman" w:hint="default"/>
          <w:b/>
          <w:bCs/>
          <w:sz w:val="28"/>
          <w:szCs w:val="28"/>
        </w:rPr>
      </w:pPr>
    </w:p>
    <w:p>
      <w:p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Как разговаривать с ребенком о проблеме</w:t>
      </w: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?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Внимательно выслушать, не отвлекаясь на посторонние дела.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Не торопиться с выводами. Постараться узнать детали.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Проявить сочувствие к ребенку, принять его болезненные чувства.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Дать понять ребенку, что вы его поддерживаете и готовы помогать.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Не обвинять ребенка.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Осознать свои чувства и переживания. Не впадать в сильные эмоции. Постараться трезво оценить происходящее.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Спросить ребенка, какое решение проблемы его бы устроило.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Дать советы, как отвечать обидчикам.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Как реагировать ребенку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Сохранять спокойствие.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Не поддаваться на провокацию, не проявлять гнев: возможно, обидчик потеряет к нему интерес.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Блокировать агрессора онлайн или в телефоне, но сохранить оскорбительные сообщения.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Сообщить о нападках родителям и учителю.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Если разговор с обидчиками вынужденно начался, переводить внимание на их поведение нейтральными безразличными фразами: «Я знаю, что ты любишь так говорить»; «Я знаю, что не умеешь по-другому развлекаться»; «Жалко, что у вас не находится дел поинтереснее».</w:t>
      </w:r>
    </w:p>
    <w:p>
      <w:pPr>
        <w:ind w:firstLine="0"/>
        <w:jc w:val="center"/>
        <w:rPr>
          <w:rFonts w:ascii="Times New Roman" w:eastAsia="Times New Roman" w:hAnsi="Times New Roman"/>
          <w:i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drawing>
          <wp:inline distT="0" distB="0" distL="180" distR="180">
            <wp:extent cx="4572000" cy="2575560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556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hint="default"/>
          <w:sz w:val="28"/>
          <w:szCs w:val="28"/>
        </w:rPr>
        <w:br/>
      </w:r>
    </w:p>
    <w:p>
      <w:pPr>
        <w:ind w:firstLine="0"/>
        <w:jc w:val="center"/>
        <w:rPr>
          <w:rFonts w:ascii="Times New Roman" w:eastAsia="Times New Roman" w:hAnsi="Times New Roman"/>
          <w:i/>
          <w:sz w:val="28"/>
          <w:szCs w:val="28"/>
          <w:rtl w:val="off"/>
        </w:rPr>
      </w:pPr>
    </w:p>
    <w:p>
      <w:pPr>
        <w:ind w:firstLine="0"/>
        <w:jc w:val="center"/>
        <w:rPr>
          <w:rFonts w:ascii="Times New Roman" w:eastAsia="Times New Roman" w:hAnsi="Times New Roman" w:hint="default"/>
          <w:i/>
          <w:sz w:val="28"/>
          <w:szCs w:val="28"/>
        </w:rPr>
      </w:pPr>
    </w:p>
    <w:p>
      <w:pPr>
        <w:jc w:val="center"/>
        <w:rPr>
          <w:rFonts w:ascii="Times New Roman" w:eastAsia="Times New Roman" w:hAnsi="Times New Roman" w:hint="default"/>
          <w:b/>
          <w:bCs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i/>
          <w:sz w:val="28"/>
          <w:szCs w:val="28"/>
        </w:rPr>
        <w:t>Какие меры предпринять родителям</w:t>
      </w:r>
      <w:r>
        <w:rPr>
          <w:rFonts w:ascii="Times New Roman" w:eastAsia="Times New Roman" w:hAnsi="Times New Roman" w:hint="default"/>
          <w:b/>
          <w:bCs/>
          <w:i/>
          <w:sz w:val="28"/>
          <w:szCs w:val="28"/>
          <w:rtl w:val="off"/>
        </w:rPr>
        <w:t>?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Сообщить учителю. Лучше при личной встрече. Описав ситуацию в заявлении с просьбой разобраться и принять участие в ее разрешении.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Описать ситуацию в заявлении на имя директора школы.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Сохранять спокойное эмоциональное состояние. Не обвинять коллектив школы. Дать понять, что вы надеетесь на помощь и поддержку.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Если по каким-то причинам сотрудники школы пытаются замять явные случаи травли и нанесения вреда ребенку, обратиться в управление образованием и прокуратуру с целью провести проверку действий участников травли, сотрудников и администрации школы.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Если ребенку нанесли физические травмы (даже легкие) необходимо засвидетельствовать их в травмпункте и обратиться в правоохранительные органы.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Поддерживайте связь со школой, учителем.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Регулярно узнавайте у ребенка, как обстоят дела.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Самостоятельно с родителями обидчиков и самими обидчиками не беседуйте.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Встреча с родителями обидчиков должна проходить в присутствии школьного совета: классный руководитель, директор, психолог, социальный педагог, педагог по безопасности.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Что нельзя делать родителям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Искать причину в жертве травли. Обвинять жертву травли в том, что ее травят. («Сам виноват, не умеет общаться, плохо учится, не умеет находить общий язык с остальными, не может за себя постоять»).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Ждать, что ситуация разрешится сама.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Не замечать проблему.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Путать травлю, конфликт и непопулярность.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Считать травлю исключительно проблемой жертвы.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Давить на жалость к жертве.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Отправлять ребенка самостоятельно разбираться со своими проблемами.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Самим разбираться с обидчиками.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Какие советы нельзя давать ребенку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«Не обращай внимания»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«Дай сдачи»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«Разбирайся сам со своими проблемами»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«Учись налаживать отношения»</w:t>
      </w:r>
    </w:p>
    <w:p>
      <w:pPr>
        <w:pStyle w:val="af3"/>
        <w:ind w:leftChars="0"/>
        <w:numPr>
          <w:ilvl w:val="0"/>
          <w:numId w:val="2"/>
        </w:num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«Не бойся»</w:t>
      </w:r>
    </w:p>
    <w:p>
      <w:p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i/>
          <w:sz w:val="28"/>
          <w:szCs w:val="28"/>
        </w:rPr>
        <w:t>Если вы — родитель агрессора</w:t>
      </w:r>
    </w:p>
    <w:p>
      <w:pPr>
        <w:ind w:firstLine="0"/>
        <w:jc w:val="left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Вот несколько советов родителям ребенка, который травит других.</w:t>
      </w:r>
    </w:p>
    <w:p>
      <w:p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Агрессор нередко ведет себя так потому, что испытывает неуверенность, страх, бессилие. Иногда над ним тоже кто-то издевается. Попытайтесь выяснить, почему ребенок ведет себя таким образом.</w:t>
      </w:r>
    </w:p>
    <w:p>
      <w:p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Помогите ему извиниться и попытаться исправить ситуацию.</w:t>
      </w:r>
    </w:p>
    <w:p>
      <w:p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Помогите понять, что его поведение не есть он сам.</w:t>
      </w:r>
    </w:p>
    <w:p>
      <w:pPr>
        <w:ind w:firstLine="0"/>
        <w:jc w:val="left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i/>
          <w:sz w:val="28"/>
          <w:szCs w:val="28"/>
        </w:rPr>
        <w:t>Важно иметь в виду, что недооценивание серьезности ситуации, чувств и страданий жертвы способствует и поддерживает ситуацию травли в коллективе. Единственный способ справиться с травлей или предотвратить ее — жёсткое пресечение.</w:t>
      </w:r>
    </w:p>
    <w:p/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fffa3f0"/>
    <w:multiLevelType w:val="hybridMultilevel"/>
    <w:lvl w:ilvl="0" w:tplc="40900d8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ff7e6b0"/>
    <w:multiLevelType w:val="hybridMultilevel"/>
    <w:lvl w:ilvl="0" w:tplc="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2023-03-12T11:43:28Z</dcterms:created>
  <dcterms:modified xsi:type="dcterms:W3CDTF">2023-03-12T11:45:51Z</dcterms:modified>
  <cp:version>0900.0100.01</cp:version>
</cp:coreProperties>
</file>