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МИНИСТЕРСТВО ПРОСВЕЩЕНИЯ РОССИЙСКОЙ ФЕДЕРАЦИИ</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ПИСЬМО</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от 30 ноября 2023 г. N ТВ-2356/02</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О НАПРАВЛЕНИИ МЕТОДИЧЕСКИХ РЕКОМЕНДАЦИЙ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В целях оказания методической поддержки органам исполнительной власти субъектов Российской Федерации, осуществляющих государственное управление в сфере образования, </w:t>
      </w:r>
      <w:proofErr w:type="spellStart"/>
      <w:r w:rsidRPr="005C045A">
        <w:rPr>
          <w:rFonts w:ascii="Times New Roman" w:eastAsia="Times New Roman" w:hAnsi="Times New Roman" w:cs="Times New Roman"/>
          <w:color w:val="000000"/>
          <w:sz w:val="28"/>
          <w:szCs w:val="28"/>
          <w:lang w:eastAsia="ru-RU"/>
        </w:rPr>
        <w:t>Минпросвещения</w:t>
      </w:r>
      <w:proofErr w:type="spellEnd"/>
      <w:r w:rsidRPr="005C045A">
        <w:rPr>
          <w:rFonts w:ascii="Times New Roman" w:eastAsia="Times New Roman" w:hAnsi="Times New Roman" w:cs="Times New Roman"/>
          <w:color w:val="000000"/>
          <w:sz w:val="28"/>
          <w:szCs w:val="28"/>
          <w:lang w:eastAsia="ru-RU"/>
        </w:rPr>
        <w:t xml:space="preserve"> России направляет актуальные методические рекомендации по созданию и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 для использования в работе в 2024 году.</w:t>
      </w:r>
    </w:p>
    <w:p w:rsidR="005C045A" w:rsidRPr="005C045A" w:rsidRDefault="005C045A" w:rsidP="005C045A">
      <w:pPr>
        <w:shd w:val="clear" w:color="auto" w:fill="FFFFFF"/>
        <w:spacing w:before="240" w:after="240" w:line="240" w:lineRule="auto"/>
        <w:jc w:val="right"/>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Т.В.ВАСИЛЬЕВА</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МЕТОДИЧЕСКИЕ РЕКОМЕНДАЦИИ</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ПО СОЗДАНИЮ И ФУНКЦИОНИРОВАНИЮ В ОБЩЕОБРАЗОВАТЕЛЬНЫХ</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ОРГАНИЗАЦИЯХ, РАСПОЛОЖЕННЫХ В СЕЛЬСКОЙ МЕСТНОСТИ И МАЛЫХ</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ГОРОДАХ, ЦЕНТРОВ ОБРАЗОВАНИЯ ЕСТЕСТВЕННО-НАУЧНОЙ</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И ТЕХНОЛОГИЧЕСКОЙ НАПРАВЛЕННОСТЕЙ</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1. Общие положения</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Настоящие Методические рекомендации (далее - Рекомендации) направлены на обеспечение единых организационных и методических условий создания и общих подходов к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 "Точка роста" (далее - Центры "Точка роста") в целях обеспечения реализации федерального проекта "Современная школа" национального проекта "Образование" (далее - федеральный проект), в том числе общих подходов к использованию субсидии из федерального бюджета бюджетам субъектов Российской Федерации и бюджету города Байконура на создание и функционирование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 в рамках федерального проекта "Современная школа" национального проекта "Образование" в целях </w:t>
      </w:r>
      <w:proofErr w:type="spellStart"/>
      <w:r w:rsidRPr="005C045A">
        <w:rPr>
          <w:rFonts w:ascii="Times New Roman" w:eastAsia="Times New Roman" w:hAnsi="Times New Roman" w:cs="Times New Roman"/>
          <w:color w:val="000000"/>
          <w:sz w:val="28"/>
          <w:szCs w:val="28"/>
          <w:lang w:eastAsia="ru-RU"/>
        </w:rPr>
        <w:t>софинансирования</w:t>
      </w:r>
      <w:proofErr w:type="spellEnd"/>
      <w:r w:rsidRPr="005C045A">
        <w:rPr>
          <w:rFonts w:ascii="Times New Roman" w:eastAsia="Times New Roman" w:hAnsi="Times New Roman" w:cs="Times New Roman"/>
          <w:color w:val="000000"/>
          <w:sz w:val="28"/>
          <w:szCs w:val="28"/>
          <w:lang w:eastAsia="ru-RU"/>
        </w:rPr>
        <w:t xml:space="preserve"> расходных обязательств субъектов Российской Федерации &lt;1&gt;, возникающих в рамках </w:t>
      </w:r>
      <w:r w:rsidRPr="005C045A">
        <w:rPr>
          <w:rFonts w:ascii="Times New Roman" w:eastAsia="Times New Roman" w:hAnsi="Times New Roman" w:cs="Times New Roman"/>
          <w:color w:val="000000"/>
          <w:sz w:val="28"/>
          <w:szCs w:val="28"/>
          <w:lang w:eastAsia="ru-RU"/>
        </w:rPr>
        <w:lastRenderedPageBreak/>
        <w:t>достижения результата "В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 и целевых показателей федерального проекта.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&lt;1&gt; г. Байконур и Федеральная территория "Сириус" приравнены к субъектам Российской Федерации.</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Рекомендации предназначены для руководителей и специалистов органов исполнительной власти субъектов Российской Федерации, осуществляющих государственное управление в сфере образования, органов местного самоуправления, а также педагогических работников и управленческих кадров общеобразовательных организаций для использования при планировании работы, в том числе в части развития материально-технической базы и образовательной среды, совершенствования методики и подходов к организации образовательной деятельности по образовательным программам общего образования и дополнительным общеобразовательным программам.</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Целями создания Центров "Точка роста" является совершенствование условий для повышения качества образования в общеобразовательных организациях, расположенных в сельской местности и малых городах, расширения возможностей обучающихся в освоении учебных предметов естественно-научной и технологической направленностей, программ дополнительного образования естественно-научной и технической направленностей, а также для практической отработки учебного материала по учебным предметам "Физика", "Химия", "Биология". Центры "Точка роста" обеспечивают повышение охвата обучающихся общеобразовательных организаций, расположенных в сельской местности и малых городах, программами основного общего и дополнительного образования естественно-научной и технологической направленностей с использованием современного оборудования.</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Создание Центров "Точка роста" осуществляется на базе общеобразовательных организаций, расположенных в сельской местности и малых городах с численностью населения не более 50 тысяч человек.</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Центры "Точка роста" не могут быть созданы на базе общеобразовательных организаций, в которых ранее были созданы или создаются центры образования "Точка роста", детские технопарки "</w:t>
      </w:r>
      <w:proofErr w:type="spellStart"/>
      <w:r w:rsidRPr="005C045A">
        <w:rPr>
          <w:rFonts w:ascii="Times New Roman" w:eastAsia="Times New Roman" w:hAnsi="Times New Roman" w:cs="Times New Roman"/>
          <w:color w:val="000000"/>
          <w:sz w:val="28"/>
          <w:szCs w:val="28"/>
          <w:lang w:eastAsia="ru-RU"/>
        </w:rPr>
        <w:t>Кванториум</w:t>
      </w:r>
      <w:proofErr w:type="spellEnd"/>
      <w:r w:rsidRPr="005C045A">
        <w:rPr>
          <w:rFonts w:ascii="Times New Roman" w:eastAsia="Times New Roman" w:hAnsi="Times New Roman" w:cs="Times New Roman"/>
          <w:color w:val="000000"/>
          <w:sz w:val="28"/>
          <w:szCs w:val="28"/>
          <w:lang w:eastAsia="ru-RU"/>
        </w:rPr>
        <w:t>", центры образования "IT-куб".</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В случае если в субъекте Российской Федерации в рамках реализуемого в 2019 - 2020 гг. мероприятия "Обновлена материально-техническая база для формирования у обучающихся современных технологических и гуманитарных навыков, создана материально-техническая база для </w:t>
      </w:r>
      <w:r w:rsidRPr="005C045A">
        <w:rPr>
          <w:rFonts w:ascii="Times New Roman" w:eastAsia="Times New Roman" w:hAnsi="Times New Roman" w:cs="Times New Roman"/>
          <w:color w:val="000000"/>
          <w:sz w:val="28"/>
          <w:szCs w:val="28"/>
          <w:lang w:eastAsia="ru-RU"/>
        </w:rPr>
        <w:lastRenderedPageBreak/>
        <w:t>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 а также в 2021 - 2023 гг. мероприятия "В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 в рамках федерального проекта "Современная школа" национального проекта "Образование" оснащены все образовательные организации (головные организации) допускается оснащение филиалов общеобразовательных организаций.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Органам исполнительной власти субъектов Российской Федерации (органам местного самоуправления, образовательным организациям) рекомендуется использовать настоящие Рекомендации при реализации мероприятий по созданию и функционированию Центров "Точка роста".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Организационно-техническое, методическое и информационное сопровождения создания в субъектах Российской Федерации Центров "Точка роста" осуществляет Федеральное государственное автономное учреждение "Центр просветительских инициатив Министерства просвещения Российской Федерации" (далее - Федеральный оператор). Адрес сайта: http://mpcenter.ru.</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2. Порядок создания Центров "Точка роста"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Центр "Точка роста" - современное образовательное пространство в общеобразовательной организации, расположенной в сельской местности или малом городе, оснащенное оборудованием, средствами обучения и воспитания для практического изучения учебных предметов естественно-научной и технологической направленностей и при наличии соответствующих действующим нормативным документам условий для освоения дополнительных общеобразовательных программ естественно-научной и технической направленностей.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Центр "Точка роста" при необходимости с учетом рекомендаций регионального координатора может быть выделен в структуре общеобразовательной организации в качестве самостоятельного структурного подразделения. Размещать образовательные пространства и дополнительные функциональные зоны Центра "Точка роста" рекомендуется в пределах одного здания.</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Центр "Точка роста" в зависимости от особенностей здания и помещений общеобразовательной организации, объема контингента обучающихся и кадрового обеспечения может представлять собой: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 отдельный учебный кабинет, на базе которого реализуются учебные предметы "Физика", "Химия", "Биология", "Технология", иные учебные предметы естественно-научной и технологической направленностей, </w:t>
      </w:r>
      <w:r w:rsidRPr="005C045A">
        <w:rPr>
          <w:rFonts w:ascii="Times New Roman" w:eastAsia="Times New Roman" w:hAnsi="Times New Roman" w:cs="Times New Roman"/>
          <w:color w:val="000000"/>
          <w:sz w:val="28"/>
          <w:szCs w:val="28"/>
          <w:lang w:eastAsia="ru-RU"/>
        </w:rPr>
        <w:lastRenderedPageBreak/>
        <w:t>осуществляемые в рамках основных образовательных программ начального общего, основного общего и среднего общего образования;</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совокупность учебных помещений, в которых реализуются основные образовательные программы начального общего, основного общего и среднего образования, а также при наличии возможности дополнительные общеобразовательные программы естественно-научной и технологической направленностей с применением современного оборудования, средств обучения и воспитания;</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 </w:t>
      </w:r>
      <w:proofErr w:type="spellStart"/>
      <w:r w:rsidRPr="005C045A">
        <w:rPr>
          <w:rFonts w:ascii="Times New Roman" w:eastAsia="Times New Roman" w:hAnsi="Times New Roman" w:cs="Times New Roman"/>
          <w:color w:val="000000"/>
          <w:sz w:val="28"/>
          <w:szCs w:val="28"/>
          <w:lang w:eastAsia="ru-RU"/>
        </w:rPr>
        <w:t>метапредметное</w:t>
      </w:r>
      <w:proofErr w:type="spellEnd"/>
      <w:r w:rsidRPr="005C045A">
        <w:rPr>
          <w:rFonts w:ascii="Times New Roman" w:eastAsia="Times New Roman" w:hAnsi="Times New Roman" w:cs="Times New Roman"/>
          <w:color w:val="000000"/>
          <w:sz w:val="28"/>
          <w:szCs w:val="28"/>
          <w:lang w:eastAsia="ru-RU"/>
        </w:rPr>
        <w:t xml:space="preserve"> лабораторное пространство, отведенное в здании общеобразовательной организации, для проведения практических занятий обучающихся естественно-научной и технологической направленностей в рамках освоения основных и дополнительных общеобразовательных программ.</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В целях формирования современного и технологичного пространства Центра "Точка роста" рекомендуется использование действующих учебных кабинетов (или одного из действующих) физики/химии/биологии/технологии (или иных кабинетов естественно-научной и технологической направленностей).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Наличие дополнительных функциональных зон для организации проектной деятельности и групповой работы может быть предусмотрено в составе помещений и пространств Центра "Точка роста" при наличии соответствующих возможностей и целесообразности их формирования.</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2.1. Обеспечение создания Центров "Точка роста"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Центры "Точка роста" могут создаваться как за счет средств субсидий федерального бюджета в рамках реализации федерального проекта "Современная школа", так и в рамках иных программ и проектов за счет средств бюджетов субъектов Российской Федерации, средств местных бюджетов и внебюджетных источников.</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Реализацию в субъекте Российской Федерации мероприятий по созданию и функционированию Центров "Точка роста" рекомендуется сопровождать изданием нормативного правового акта высшего исполнительного органа государственной власти субъекта Российской Федерации, который определяет орган исполнительной власти субъекта Российской Федерации, ответственный за реализацию мероприятий по созданию Центров "Точка роста" на территории субъекта Российской Федерации (далее - Региональный координатор).</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Региональному координатору рекомендуется с учетом сроков, указанных в Приложении 1 к Рекомендациям, утвердить:</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 должностное лицо в составе регионального ведомственного проектного офиса, ответственное за создание и функционирование Центров "Точка роста";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комплекс мер (дорожную карту) по созданию и функционированию Центров "Точка роста" (рекомендованная форма представлена в Приложении 1 к настоящим Рекомендациям);</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перечень показателей и индикаторов (рекомендуемый образец приведен в Приложении 2 к Рекомендациям) их значений;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перечень общеобразовательных организаций, расположенных в сельской местности и малых городах, на базе которых планируется создание Центров "Точка роста" (рекомендуемый образец приведен в Приложении 3);</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типовое Положение о Центре образования естественно-научной и технологической направленностей "Точка роста" (типовая форма Положения приведена в Приложении 4).</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Для обеспечения функционирования Центра "Точка роста" общеобразовательной организации, на базе которой он создается, рекомендуется издать локальный нормативный акт (локальные нормативные акты):</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о создании Центра "Точка роста";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о назначении руководителя (куратора, ответственного за функционирование и развитие) Центра "Точка роста";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об утверждении перечня дополнительных общеобразовательных программ и перечня программ внеурочной деятельности общеобразовательной организации, реализуемых с использованием средств обучения и воспитания Центра "Точка роста";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об утверждении Положения о деятельности Центра "Точка роста" (типовая форма Положения о деятельности Центра "Точка роста", на основе которой рекомендуется разработать документ представлен в Приложении 4 к настоящим Рекомендациям).</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В Положении о деятельности Центра "Точка роста" предлагается отражать его основные характеристики, в том числе:</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цели и задачи создания и функционирования Центра "Точка роста", определенные с учетом положений настоящих Рекомендаций и специфики общеобразовательной организации;</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информацию о месторасположении Центра "Точка роста" (адрес, доступность);</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 перечень показателей и индикаторов деятельности Центра "Точка роста" и их значения на текущий год и плановый период (с разбивкой по годам);</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основные функции Центра "Точка роста";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порядок управления и организации образовательной деятельности Центра "Точка роста";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иные параметры, соответствующие положениям настоящих Рекомендаций.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Создание центра "Точка роста" на базе общеобразовательной организации может осуществляться как путем выделения соответствующего структурного подразделения общеобразовательной организации, так и без выделения отдельного подразделения.</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Региональному координатору рекомендуется информировать Федерального оператора о случаях создания на территории субъекта Российской Федерации Центра "Точка роста" за счет средств бюджетов субъектов Российской Федерации и (или) средств местных бюджетов и (или) внебюджетных источников, а также направлять Федеральному оператору концепции создания и функционирования такого Центра "Точка роста".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2.2. Материально-техническое обеспечение создания Центров "Точка роста"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2.2.1. Оснащение оборудованием, средствами обучения и воспитания.</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Основными направленностями реализации программ Центров "Точка роста" являются естественно-научная и технологическая. Перечень направленностей реализуемых программ и соответствующих средств обучения и воспитания может дополняться и расширяться в каждой из общеобразовательных организаций, на базе которых создаются Центры "Точка роста". Средства обучения и воспитания рассчитаны на широкий спектр способов и методов применения в учебном процессе, внеурочной деятельности, дополнительном образовании.</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Создание центра "Точка роста" предполагает развитие образовательной инфраструктуры общеобразовательной организации, в том числе оснащение общеобразовательной организации:</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средствами обучения и воспитания для изучения (в том числе экспериментального) предметов, курсов, дисциплин (модулей) естественно-научной направленности и технологической направленностей при реализации основных общеобразовательных программ и дополнительных общеобразовательных программ, в том числе для расширения содержания учебных предметов "Физика", "Химия", "Биология";</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 xml:space="preserve">- оборудованием для изучения основ робототехники, механики, </w:t>
      </w:r>
      <w:proofErr w:type="spellStart"/>
      <w:r w:rsidRPr="005C045A">
        <w:rPr>
          <w:rFonts w:ascii="Times New Roman" w:eastAsia="Times New Roman" w:hAnsi="Times New Roman" w:cs="Times New Roman"/>
          <w:color w:val="000000"/>
          <w:sz w:val="28"/>
          <w:szCs w:val="28"/>
          <w:lang w:eastAsia="ru-RU"/>
        </w:rPr>
        <w:t>мехатроники</w:t>
      </w:r>
      <w:proofErr w:type="spellEnd"/>
      <w:r w:rsidRPr="005C045A">
        <w:rPr>
          <w:rFonts w:ascii="Times New Roman" w:eastAsia="Times New Roman" w:hAnsi="Times New Roman" w:cs="Times New Roman"/>
          <w:color w:val="000000"/>
          <w:sz w:val="28"/>
          <w:szCs w:val="28"/>
          <w:lang w:eastAsia="ru-RU"/>
        </w:rPr>
        <w:t>, освоения основ программирования, реализации программ дополнительного образования технической и естественно-научной направленностей и т.д.</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компьютерным и иным оборудованием.</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Для целей обеспечения возможности осуществления Федеральным оператором единой комплексной методической поддержки и методического сопровождения субъектов Российской Федерации по достижению результатов и показателей федерального проекта, а также включения создаваемой региональным координатором инфраструктуры в единую технологическую среду национального проекта "Образование" рекомендуется региональному координатору учитывать примерный перечень оборудования, расходных материалов, средств обучения и воспитания для создания и обеспечения функционирования центров образования естественно-научной и технологической направленности "Точка роста" в общеобразовательных организациях, расположенных в сельской местности и малых городах (Приложение 5), а также рекомендуется направить сформированный перечень оборудования, расходных материалов, средств обучения и воспитания в адрес Федерального оператора и получить заключение Федерального оператора о его соответствии единой технологической среде национального проекта "Образование" до момента его утверждения. При оснащении малокомплектных общеобразовательных организаций &lt;2&gt; объем единиц средств обучения и воспитания представляется в меньшем количестве.</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&lt;2&gt; В соответствии с пунктом 4 статьи 99 Федерального закона от </w:t>
      </w:r>
      <w:hyperlink r:id="rId4" w:history="1">
        <w:r w:rsidRPr="005C045A">
          <w:rPr>
            <w:rFonts w:ascii="Times New Roman" w:eastAsia="Times New Roman" w:hAnsi="Times New Roman" w:cs="Times New Roman"/>
            <w:color w:val="154285"/>
            <w:sz w:val="28"/>
            <w:szCs w:val="28"/>
            <w:u w:val="single"/>
            <w:lang w:eastAsia="ru-RU"/>
          </w:rPr>
          <w:t>29.12.2012 N 273-ФЗ</w:t>
        </w:r>
      </w:hyperlink>
      <w:r w:rsidRPr="005C045A">
        <w:rPr>
          <w:rFonts w:ascii="Times New Roman" w:eastAsia="Times New Roman" w:hAnsi="Times New Roman" w:cs="Times New Roman"/>
          <w:color w:val="000000"/>
          <w:sz w:val="28"/>
          <w:szCs w:val="28"/>
          <w:lang w:eastAsia="ru-RU"/>
        </w:rPr>
        <w:t> "Об образовании в Российской Федерации"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 формировании перечня оборудования, расходных материалов, средств обучения и воспитания рекомендуется, учитывая имеющиеся у общеобразовательных организации условия и потребности, включать в его состав в первую очередь средства обучения и воспитания не менее чем по трем учебным предметам ("Физика", "Химия", "Биология" раздел "Естественно-научная направленность"), компьютерное оборудование (раздел "Компьютерное оборудование") и после этого иное оборудование (раздел "Дополнительное оборудование") из состава оборудования примерного перечня оборудования, расходных материалов, средств обучения и воспитания (Приложение 5 к методическим рекомендациям).</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При формировании перечня оборудования, расходных материалов, средств обучения и воспитания в случае выбора химических реактивов, рекомендуется учитывать наличие в общеобразовательных организациях, в которых обеспечивается создание Центров "Точка роста", шкафов для их хранения или иной лабораторной мебели, предусматривающей безопасное хранение планируемых к закупке реактивов.</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2.2.2. Формирование предметно-пространственной среды.</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Рекомендуется обеспечить соответствие образовательного пространства (учебных помещений/кабинетов), отводимого для создания Центра "Точка роста", действующим требованиям к устройству, содержанию и организации режима работы образовательных организаций, иным нормативным правовым актам, определяющим требования к организации общего и дополнительного образования детей. Для этого проектирование, зонирование пространства Центра "Точка роста" рекомендуется организовать, обеспечив эффективное размещение и использование оборудования, средств обучения и воспитания Центра "Точка роста".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Для организации пространства Центра "Точка роста" рекомендуется проанализировать состав и функциональность имеющихся в общеобразовательной организации кабинетов и учебных помещений для определения эффективного формата размещения Центра "Точка роста": в формате отдельного учебного кабинета, совокупности учебных помещений или </w:t>
      </w:r>
      <w:proofErr w:type="spellStart"/>
      <w:r w:rsidRPr="005C045A">
        <w:rPr>
          <w:rFonts w:ascii="Times New Roman" w:eastAsia="Times New Roman" w:hAnsi="Times New Roman" w:cs="Times New Roman"/>
          <w:color w:val="000000"/>
          <w:sz w:val="28"/>
          <w:szCs w:val="28"/>
          <w:lang w:eastAsia="ru-RU"/>
        </w:rPr>
        <w:t>метапредметного</w:t>
      </w:r>
      <w:proofErr w:type="spellEnd"/>
      <w:r w:rsidRPr="005C045A">
        <w:rPr>
          <w:rFonts w:ascii="Times New Roman" w:eastAsia="Times New Roman" w:hAnsi="Times New Roman" w:cs="Times New Roman"/>
          <w:color w:val="000000"/>
          <w:sz w:val="28"/>
          <w:szCs w:val="28"/>
          <w:lang w:eastAsia="ru-RU"/>
        </w:rPr>
        <w:t xml:space="preserve"> лабораторного пространства (для реализации образовательных программ и размещения оборудования естественно-научной и технологической направленностей, для проведения лабораторных и практических занятий естественно-научной и технологической направленностей).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 определении пространства, задействованного для функционирования Центра "Точка роста", рекомендуется использовать учебные кабинеты физики/химии/биологии/технологии/информатики и иные учебные кабинеты естественно-научной и технологической направленностей.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Набор пространств, используемых для деятельности Центра "Точка роста", определяется общеобразовательной организацией самостоятельно с учетом имеющихся в организации условий и рекомендаций регионального координатора.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Проектирование, зонирование помещений Центров "Точка роста" и определение дизайн-решений рекомендуется осуществлять с учетом рекомендаций Федерального оператора.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В случаях проведения в зданиях общеобразовательных организаций, в которых ранее были созданы Центры "Точка роста", капитальных ремонтов или иных ремонтных работ, затрагивающих внешний вид помещений, </w:t>
      </w:r>
      <w:r w:rsidRPr="005C045A">
        <w:rPr>
          <w:rFonts w:ascii="Times New Roman" w:eastAsia="Times New Roman" w:hAnsi="Times New Roman" w:cs="Times New Roman"/>
          <w:color w:val="000000"/>
          <w:sz w:val="28"/>
          <w:szCs w:val="28"/>
          <w:lang w:eastAsia="ru-RU"/>
        </w:rPr>
        <w:lastRenderedPageBreak/>
        <w:t>отведенных под Центры "Точка роста", рекомендуется обеспечить восстановление дизайн-решений, проектирования и зонирования указанных помещений в соответствии с настоящими Рекомендациями и рекомендациями по проектированию Центров "Точка роста", разрабатываемых Федеральным оператором.</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 оформлении пространств образовательных организаций рекомендуется учитывать рекомендации по оформлению воспитательных пространств в общеобразовательной организации, направленные письмом Министерства просвещения Российской Федерации от 11 июля 2023 г. N СК-468/15.</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2.3. Кадровое обеспечение создания Центров "Точка роста"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Образовательную деятельность на базе Центра "Точка роста" осуществляют педагогические работники общеобразовательной организации. Кадровое обеспечение Центра "Точка роста" осуществляется с учетом устанавливаемого руководителем штатного расписания, действующих локальных нормативных актов, в том числе об оплате труда и выплатах стимулирующего характера.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С учетом многофункциональности Центра "Точка роста" руководителю общеобразовательной организации рекомендуется локальным актом определить руководителя (куратора) Центра "Точка роста", ответственного за его функционирование и развитие.</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К функциям руководителя Центра "Точка роста" могут быть отнесены:</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организация работы по текущему и перспективному планированию деятельности общеобразовательной организации с учетом целей и задач Центра "Точка роста";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координация работы педагогических работников по выполнению учебных (образовательных) планов и программ, разработке необходимой учебно-методической документации;</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оказание помощи педагогическим работникам в освоении и разработке программ и технологий;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организация методической, культурно-массовой, внеклассной работы, а также информационной работы для родителей;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обеспечение контроля за выполнением плановых заданий, своевременного составления установленной отчетной документации;</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внесение предложений по совершенствованию образовательного процесса и управления общеобразовательной организацией;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участие в работе развитии и укреплении учебно-материальной базы общеобразовательной организации.</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Требования к кадровому обеспечению деятельности Центра "Точка роста" определяются общеобразовательной организацией самостоятельно с учетом действующего трудового законодательства, а также настоящих Рекомендаций.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Субъекту Российской Федерации при формировании бюджета на очередной год и плановый период рекомендуется предусматривать объем бюджетных ассигнований для предоставления субвенций местным бюджетам в объеме, необходимом для финансового обеспечения оплаты труда педагогических работников общеобразовательных организаций, обеспечивающих функционирование Центров "Точка роста".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Региональному координатору рекомендуется предусмотреть организацию и проведение региональных обучающих мероприятий для педагогических работников общеобразовательных организаций по работе со средствами обучения и воспитания, оборудованием, которым оснащаются Центры "Точка роста", в том числе с применением иной инфраструктуры национального проекта "Образование", созданной в субъекте Российской Федерации. Обучающие мероприятия рекомендуется планировать в рамках комплексного организационно-методического сопровождения деятельности центров "Точка роста", в том числе при необходимости через планирование и реализацию очных дополнительных профессиональных программ.</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Проведение курсов повышения квалификации по дополнительным профессиональным программам сверх минимальных требований о дополнительном профессиональном образовании по профилю педагогической деятельности не реже чем один раз в три года в соответствии с пунктом 2 части 5 статьи 47 Федерального закона от </w:t>
      </w:r>
      <w:hyperlink r:id="rId5" w:history="1">
        <w:r w:rsidRPr="005C045A">
          <w:rPr>
            <w:rFonts w:ascii="Times New Roman" w:eastAsia="Times New Roman" w:hAnsi="Times New Roman" w:cs="Times New Roman"/>
            <w:color w:val="154285"/>
            <w:sz w:val="28"/>
            <w:szCs w:val="28"/>
            <w:u w:val="single"/>
            <w:lang w:eastAsia="ru-RU"/>
          </w:rPr>
          <w:t>29.12.2012 N 273-ФЗ</w:t>
        </w:r>
      </w:hyperlink>
      <w:r w:rsidRPr="005C045A">
        <w:rPr>
          <w:rFonts w:ascii="Times New Roman" w:eastAsia="Times New Roman" w:hAnsi="Times New Roman" w:cs="Times New Roman"/>
          <w:color w:val="000000"/>
          <w:sz w:val="28"/>
          <w:szCs w:val="28"/>
          <w:lang w:eastAsia="ru-RU"/>
        </w:rPr>
        <w:t> "Об образовании в Российской Федерации" для педагогических работников Центров "Точка роста" также может осуществляться Федеральным государственным автономным образовательным учреждением дополнительного профессионального образования "Академия реализации государственной политики и профессионального развития работников образования Министерства просвещения Российской Федерации". По указанным программам предусматривается повышение квалификации педагогических работников общеобразовательных организаций, в которых в текущем году обеспечивается создание центров "Точка роста". Порядок, сроки и формат проведения повышения квалификации доводятся до сведения общеобразовательных организаций через Региональных координаторов, в том числе с применением информационных ресурсов Федерального оператора.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2.4. Информационное обеспечение создания Центров "Точка роста"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Региональному координатору Центра "Точка роста" не позднее срока, указанного в п. 5 Приложении 1 к настоящим Рекомендациям, рекомендуется организовать размещение в специально созданном разделе "Центр "Точка роста" официального сайта общеобразовательной организации в сети </w:t>
      </w:r>
      <w:r w:rsidRPr="005C045A">
        <w:rPr>
          <w:rFonts w:ascii="Times New Roman" w:eastAsia="Times New Roman" w:hAnsi="Times New Roman" w:cs="Times New Roman"/>
          <w:color w:val="000000"/>
          <w:sz w:val="28"/>
          <w:szCs w:val="28"/>
          <w:lang w:eastAsia="ru-RU"/>
        </w:rPr>
        <w:lastRenderedPageBreak/>
        <w:t>"Интернет" информации о создании и функционировании Центра "Точка роста", в том числе информации об образовательных программах, оборудовании Центра "Точка роста". В созданном разделе официального сайта общеобразовательной организации рекомендуется размещать информацию о национальном проекте "Образование" (в том числе логотип), адрес сайта и официальную символику Министерства просвещения Российской Федерации. Федеральным оператором разрабатываются и направляются в адрес Региональных координаторов методические материалы по созданию и наполнению специальных разделов "Центр "Точка роста" на сайтах общеобразовательных организаций.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Содержательное наполнение специального раздела официального сайта общеобразовательной организации предполагает:</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а) наличие всей информации (исчерпывающий набор сведений о деятельности Центра "Точка роста" для всех участников образовательных отношений);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б) соответствие информации, размещенной в специальном разделе, данным из раздела "Сведения об образовательной организации", а также целям образовательной деятельности общеобразовательной организации и содержанию функционирования Центра "Точка роста";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в) регулярное обновление информации (неактуальные сведения своевременно удаляются или архивируются; в случае внесения изменений в материалы, их обновление на официальном сайте проводится в течение 10 рабочих дней после их изменений);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г) понятная для пользователя навигация внутри специального раздела;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 активность ссылок и подразделов, предусмотренных в специальном разделе, а также отсутствие ссылок на неработающие и запрещенные Интернет-ресурсы;</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е) соблюдение при размещении материалов требований законодательства Российской Федерации о персональных данных и защите информации (Федеральный закон от </w:t>
      </w:r>
      <w:hyperlink r:id="rId6" w:history="1">
        <w:r w:rsidRPr="005C045A">
          <w:rPr>
            <w:rFonts w:ascii="Times New Roman" w:eastAsia="Times New Roman" w:hAnsi="Times New Roman" w:cs="Times New Roman"/>
            <w:color w:val="154285"/>
            <w:sz w:val="28"/>
            <w:szCs w:val="28"/>
            <w:u w:val="single"/>
            <w:lang w:eastAsia="ru-RU"/>
          </w:rPr>
          <w:t>27 июля 2006 г. N 149-ФЗ</w:t>
        </w:r>
      </w:hyperlink>
      <w:r w:rsidRPr="005C045A">
        <w:rPr>
          <w:rFonts w:ascii="Times New Roman" w:eastAsia="Times New Roman" w:hAnsi="Times New Roman" w:cs="Times New Roman"/>
          <w:color w:val="000000"/>
          <w:sz w:val="28"/>
          <w:szCs w:val="28"/>
          <w:lang w:eastAsia="ru-RU"/>
        </w:rPr>
        <w:t> "Об информации, информационных технологиях и о защите информации", Федеральный закон от </w:t>
      </w:r>
      <w:hyperlink r:id="rId7" w:history="1">
        <w:r w:rsidRPr="005C045A">
          <w:rPr>
            <w:rFonts w:ascii="Times New Roman" w:eastAsia="Times New Roman" w:hAnsi="Times New Roman" w:cs="Times New Roman"/>
            <w:color w:val="154285"/>
            <w:sz w:val="28"/>
            <w:szCs w:val="28"/>
            <w:u w:val="single"/>
            <w:lang w:eastAsia="ru-RU"/>
          </w:rPr>
          <w:t>27 июля 2006 г. N 152-ФЗ</w:t>
        </w:r>
      </w:hyperlink>
      <w:r w:rsidRPr="005C045A">
        <w:rPr>
          <w:rFonts w:ascii="Times New Roman" w:eastAsia="Times New Roman" w:hAnsi="Times New Roman" w:cs="Times New Roman"/>
          <w:color w:val="000000"/>
          <w:sz w:val="28"/>
          <w:szCs w:val="28"/>
          <w:lang w:eastAsia="ru-RU"/>
        </w:rPr>
        <w:t> "О персональных данных").</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Наполнение специального раздела на сайте общеобразовательной организации контентом рекомендуется осуществлять с учетом требований нормативных документов, положений Рекомендаций, а также запросов участников образовательных отношений и иных заинтересованных потребителей информации сайта общеобразовательной организации.</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Региональным координатором рекомендуется обеспечивать широкое информационное освещение мероприятий по созданию Центров "Точка роста" </w:t>
      </w:r>
      <w:r w:rsidRPr="005C045A">
        <w:rPr>
          <w:rFonts w:ascii="Times New Roman" w:eastAsia="Times New Roman" w:hAnsi="Times New Roman" w:cs="Times New Roman"/>
          <w:color w:val="000000"/>
          <w:sz w:val="28"/>
          <w:szCs w:val="28"/>
          <w:lang w:eastAsia="ru-RU"/>
        </w:rPr>
        <w:lastRenderedPageBreak/>
        <w:t>путем привлечения региональных средств массовой информации, а также размещения информационных и мультимедийных материалов на официальных сайтах и в социальных сетях общеобразовательных организаций.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Региональному координатору рекомендуется обеспечить широкое информационное освещение мероприятий по созданию Центров "Точка роста", официальному открытию и событий, проходящих на базе Центров "Точка роста", путем привлечения региональных средств массовой информации, а также размещения информационных и мультимедийных материалов на официальных сайтах и в социальных сетях общеобразовательных организаций, субъекта Российской Федерации.</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Региональному координатору рекомендуется предусмотреть проведение региональных (муниципальных) семинаров/сессий/совещаний для руководящих (педагогических) работников общеобразовательных организаций, в которых создаются Центры "Точка роста" по вопросам первичного освещения основных направлений реализации национального проекта "Образование", целях и задачах деятельности Центров "Точка роста", информационно-методических ресурсах Федерального оператора, региональных методических службах и пр. При подготовке указанных мероприятий целесообразно использовать материалы информационно-методических мероприятий Федерального оператора и иные источники, соответствующие целям деятельности Центров "Точка роста" и настоящим Рекомендациям.</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3. Организация образовательной деятельности</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Образовательную деятельность на базе Центров "Точка роста" рекомендуется осуществлять по образовательным программам общего образования и, при наличии условий, дополнительным общеобразовательным программам.</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Создание Центров "Точка роста" предполагает использование приобретаемого оборудования, средств обучения и воспитания для достижения образовательных результатов по предметным областям "Естественно-научные предметы", "Естественные науки", "Математика и информатика", "Обществознание и естествознание", "Технология", образовательных программ общего образования естественно-научной и технологической направленностей, при реализации курсов внеурочной деятельности и дополнительных общеразвивающих программ естественно-научной и технической направленностей. Перечень направленностей реализуемых на базе Центров "Точка роста" образовательных программ может быть расширен в зависимости от имеющихся </w:t>
      </w:r>
      <w:proofErr w:type="gramStart"/>
      <w:r w:rsidRPr="005C045A">
        <w:rPr>
          <w:rFonts w:ascii="Times New Roman" w:eastAsia="Times New Roman" w:hAnsi="Times New Roman" w:cs="Times New Roman"/>
          <w:color w:val="000000"/>
          <w:sz w:val="28"/>
          <w:szCs w:val="28"/>
          <w:lang w:eastAsia="ru-RU"/>
        </w:rPr>
        <w:t>у общеобразовательных организации</w:t>
      </w:r>
      <w:proofErr w:type="gramEnd"/>
      <w:r w:rsidRPr="005C045A">
        <w:rPr>
          <w:rFonts w:ascii="Times New Roman" w:eastAsia="Times New Roman" w:hAnsi="Times New Roman" w:cs="Times New Roman"/>
          <w:color w:val="000000"/>
          <w:sz w:val="28"/>
          <w:szCs w:val="28"/>
          <w:lang w:eastAsia="ru-RU"/>
        </w:rPr>
        <w:t xml:space="preserve"> условий, а также потребностей участников образовательных отношений.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Общеобразовательной организации при формировании содержания основных общеобразовательных программ, дополнительных общеобразовательных программ рекомендуется учитывать ресурсы Центра "Точка роста". При организации внесения изменений в образовательные программы общеобразовательной организации, обновлении содержания отдельных рабочих программ учебных предметов, курсов внеурочной деятельности, дополнительных общеобразовательных программ рекомендуется использовать учебно-методические и справочные материалы Федерального оператора.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Федеральный оператор обеспечивает подготовку и распространение методических и информационных материалов по вопросам организации образовательной деятельности, методики использования средств обучения и воспитания, оборудования при организации образовательной деятельности на базе Центров "Точка роста".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Формат организации образовательной деятельности и направления реализуемых образовательных программ рекомендуется определять с учетом настоящих Рекомендаций и иных информационных и методических материалов Федерального оператора. Рекомендуется предусматривать на базе центров "Точка роста" освоение обучающимися учебных предметов "Физика", "Химия", "Биология" с использованием приобретаемого оборудования, расходных материалов, средств обучения и воспитания.</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Разработку и утверждение образовательных программ общеобразовательных организаций рекомендуется осуществлять в соответствии с требованиями законодательства в сфере образования и с учетом рекомендаций Федерального оператора.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Рекомендуется обеспечить ориентацию не менее 1/3 объема внеурочной деятельности обучающихся на достижение планируемых результатов учебных предметов, учебных курсов, учебных модулей предметных областей "Естественно-научные предметы", "Естественные науки", "Математика и информатика", "Обществознание и естествознание", "Технология", при этом объем программ естественно-научной направленности рекомендуется определять на уровне не менее 20% от общего объема внеурочной деятельности.</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Разработка рабочих программ по предметам "Физика", "Химия", "Биология", учебным предметам естественно-научной и технологической направленностей из части учебного плана, формируемой участниками образовательных отношений, программ внеурочной деятельности и дополнительного образования осуществляется общеобразовательными организациями, в которых создаются центры "Точка роста", самостоятельно, при этом рекомендуется учитывать методические материалы и рекомендации Федерального оператора. Реализация образовательных программ </w:t>
      </w:r>
      <w:r w:rsidRPr="005C045A">
        <w:rPr>
          <w:rFonts w:ascii="Times New Roman" w:eastAsia="Times New Roman" w:hAnsi="Times New Roman" w:cs="Times New Roman"/>
          <w:color w:val="000000"/>
          <w:sz w:val="28"/>
          <w:szCs w:val="28"/>
          <w:lang w:eastAsia="ru-RU"/>
        </w:rPr>
        <w:lastRenderedPageBreak/>
        <w:t>дополнительного образования в малокомплектных общеобразовательных организациях осуществляется при наличии у организации соответствующих условий.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Общеобразовательной организации до начала учебного года рекомендуется сформировать план деятельности Центра "Точка роста", включающий в себя образовательные мероприятия, конкурсы и события, соответствующие направлениям и функциям Центра "Точка роста", в том числе определенных настоящими Рекомендациями. Формирование плана образовательных мероприятий рекомендуется осуществлять с учетом инструкций и материалов Федерального оператора. Утверждение плана образовательных мероприятий рекомендуется обеспечивать не позднее 1 сентября года начала функционирования Центра "Точка роста" (далее - ежегодно).</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Федеральным оператором на регулярной основе обеспечивается проведение методических и организационных мероприятий по вопросам организации образовательного процесса в Центрах "Точка роста", оказание методической помощи при разработке учебных материалов, заданий для совершенствования практической подготовки обучающихся по учебным предметам, курсам внеурочной деятельности, дополнительного образования детей.</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4. Организационно-методическое сопровождение Центров "Точка</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роста" и использование иной созданной в рамках реализации</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национального проекта "Образование" инфраструктуры</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В целях комплексного сопровождения деятельности Центров "Точка" Федеральным оператором обеспечивается осуществление публикаций и обновления методических материалов, включающих учебно-методические материалы (инструкции, методические пособия, информационные материалы, перечни рекомендуемых литературных источников, видеоматериалы и др.), а также материалы по итогам проведения мероприятий Федерального оператора (</w:t>
      </w:r>
      <w:proofErr w:type="spellStart"/>
      <w:r w:rsidRPr="005C045A">
        <w:rPr>
          <w:rFonts w:ascii="Times New Roman" w:eastAsia="Times New Roman" w:hAnsi="Times New Roman" w:cs="Times New Roman"/>
          <w:color w:val="000000"/>
          <w:sz w:val="28"/>
          <w:szCs w:val="28"/>
          <w:lang w:eastAsia="ru-RU"/>
        </w:rPr>
        <w:t>вебинары</w:t>
      </w:r>
      <w:proofErr w:type="spellEnd"/>
      <w:r w:rsidRPr="005C045A">
        <w:rPr>
          <w:rFonts w:ascii="Times New Roman" w:eastAsia="Times New Roman" w:hAnsi="Times New Roman" w:cs="Times New Roman"/>
          <w:color w:val="000000"/>
          <w:sz w:val="28"/>
          <w:szCs w:val="28"/>
          <w:lang w:eastAsia="ru-RU"/>
        </w:rPr>
        <w:t>, семинары, конференции, совещания и др.).</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Для педагогических работников Центров "Точка роста" Федеральным оператором обеспечивается проведение тематических </w:t>
      </w:r>
      <w:proofErr w:type="spellStart"/>
      <w:r w:rsidRPr="005C045A">
        <w:rPr>
          <w:rFonts w:ascii="Times New Roman" w:eastAsia="Times New Roman" w:hAnsi="Times New Roman" w:cs="Times New Roman"/>
          <w:color w:val="000000"/>
          <w:sz w:val="28"/>
          <w:szCs w:val="28"/>
          <w:lang w:eastAsia="ru-RU"/>
        </w:rPr>
        <w:t>вебинаров</w:t>
      </w:r>
      <w:proofErr w:type="spellEnd"/>
      <w:r w:rsidRPr="005C045A">
        <w:rPr>
          <w:rFonts w:ascii="Times New Roman" w:eastAsia="Times New Roman" w:hAnsi="Times New Roman" w:cs="Times New Roman"/>
          <w:color w:val="000000"/>
          <w:sz w:val="28"/>
          <w:szCs w:val="28"/>
          <w:lang w:eastAsia="ru-RU"/>
        </w:rPr>
        <w:t>, направленных на дополнительное разъяснение вопросов реализации образовательных программ на базе Центров "Точка роста", проведению образовательных мероприятий по вопросам использования оборудования Центров "Точка роста".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Для Региональных координаторов и руководящих работников Центров "Точка роста" Федеральный оператор обеспечивает проведение тематических </w:t>
      </w:r>
      <w:proofErr w:type="spellStart"/>
      <w:r w:rsidRPr="005C045A">
        <w:rPr>
          <w:rFonts w:ascii="Times New Roman" w:eastAsia="Times New Roman" w:hAnsi="Times New Roman" w:cs="Times New Roman"/>
          <w:color w:val="000000"/>
          <w:sz w:val="28"/>
          <w:szCs w:val="28"/>
          <w:lang w:eastAsia="ru-RU"/>
        </w:rPr>
        <w:t>вебинаров</w:t>
      </w:r>
      <w:proofErr w:type="spellEnd"/>
      <w:r w:rsidRPr="005C045A">
        <w:rPr>
          <w:rFonts w:ascii="Times New Roman" w:eastAsia="Times New Roman" w:hAnsi="Times New Roman" w:cs="Times New Roman"/>
          <w:color w:val="000000"/>
          <w:sz w:val="28"/>
          <w:szCs w:val="28"/>
          <w:lang w:eastAsia="ru-RU"/>
        </w:rPr>
        <w:t xml:space="preserve">, направленных на дополнительное разъяснение вопросов, относящихся к исполнению комплексов мер (дорожных карт) по созданию и функционированию Центров "Точка роста", достижению установленных </w:t>
      </w:r>
      <w:r w:rsidRPr="005C045A">
        <w:rPr>
          <w:rFonts w:ascii="Times New Roman" w:eastAsia="Times New Roman" w:hAnsi="Times New Roman" w:cs="Times New Roman"/>
          <w:color w:val="000000"/>
          <w:sz w:val="28"/>
          <w:szCs w:val="28"/>
          <w:lang w:eastAsia="ru-RU"/>
        </w:rPr>
        <w:lastRenderedPageBreak/>
        <w:t>показателей функционирования, использованию иной созданной в рамках реализации национального проекта "Образование" инфраструктуры.</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В целях эффективной организационно-методической поддержки создания и функционирования Центров "Точка роста" на территории субъектов Российской Федерации региональным координаторам рекомендуется обеспечивать вовлечение созданных ранее детских технопарков "</w:t>
      </w:r>
      <w:proofErr w:type="spellStart"/>
      <w:r w:rsidRPr="005C045A">
        <w:rPr>
          <w:rFonts w:ascii="Times New Roman" w:eastAsia="Times New Roman" w:hAnsi="Times New Roman" w:cs="Times New Roman"/>
          <w:color w:val="000000"/>
          <w:sz w:val="28"/>
          <w:szCs w:val="28"/>
          <w:lang w:eastAsia="ru-RU"/>
        </w:rPr>
        <w:t>Кванториум</w:t>
      </w:r>
      <w:proofErr w:type="spellEnd"/>
      <w:r w:rsidRPr="005C045A">
        <w:rPr>
          <w:rFonts w:ascii="Times New Roman" w:eastAsia="Times New Roman" w:hAnsi="Times New Roman" w:cs="Times New Roman"/>
          <w:color w:val="000000"/>
          <w:sz w:val="28"/>
          <w:szCs w:val="28"/>
          <w:lang w:eastAsia="ru-RU"/>
        </w:rPr>
        <w:t>", мобильных технопарков "</w:t>
      </w:r>
      <w:proofErr w:type="spellStart"/>
      <w:r w:rsidRPr="005C045A">
        <w:rPr>
          <w:rFonts w:ascii="Times New Roman" w:eastAsia="Times New Roman" w:hAnsi="Times New Roman" w:cs="Times New Roman"/>
          <w:color w:val="000000"/>
          <w:sz w:val="28"/>
          <w:szCs w:val="28"/>
          <w:lang w:eastAsia="ru-RU"/>
        </w:rPr>
        <w:t>Кванториум</w:t>
      </w:r>
      <w:proofErr w:type="spellEnd"/>
      <w:r w:rsidRPr="005C045A">
        <w:rPr>
          <w:rFonts w:ascii="Times New Roman" w:eastAsia="Times New Roman" w:hAnsi="Times New Roman" w:cs="Times New Roman"/>
          <w:color w:val="000000"/>
          <w:sz w:val="28"/>
          <w:szCs w:val="28"/>
          <w:lang w:eastAsia="ru-RU"/>
        </w:rPr>
        <w:t xml:space="preserve">", центров цифрового образования детей "IT-куб", ключевых центров дополнительного образования "Дом научной </w:t>
      </w:r>
      <w:proofErr w:type="spellStart"/>
      <w:r w:rsidRPr="005C045A">
        <w:rPr>
          <w:rFonts w:ascii="Times New Roman" w:eastAsia="Times New Roman" w:hAnsi="Times New Roman" w:cs="Times New Roman"/>
          <w:color w:val="000000"/>
          <w:sz w:val="28"/>
          <w:szCs w:val="28"/>
          <w:lang w:eastAsia="ru-RU"/>
        </w:rPr>
        <w:t>коллаборации</w:t>
      </w:r>
      <w:proofErr w:type="spellEnd"/>
      <w:r w:rsidRPr="005C045A">
        <w:rPr>
          <w:rFonts w:ascii="Times New Roman" w:eastAsia="Times New Roman" w:hAnsi="Times New Roman" w:cs="Times New Roman"/>
          <w:color w:val="000000"/>
          <w:sz w:val="28"/>
          <w:szCs w:val="28"/>
          <w:lang w:eastAsia="ru-RU"/>
        </w:rPr>
        <w:t>" и создаваемых детских технопарков "</w:t>
      </w:r>
      <w:proofErr w:type="spellStart"/>
      <w:r w:rsidRPr="005C045A">
        <w:rPr>
          <w:rFonts w:ascii="Times New Roman" w:eastAsia="Times New Roman" w:hAnsi="Times New Roman" w:cs="Times New Roman"/>
          <w:color w:val="000000"/>
          <w:sz w:val="28"/>
          <w:szCs w:val="28"/>
          <w:lang w:eastAsia="ru-RU"/>
        </w:rPr>
        <w:t>Кванториум</w:t>
      </w:r>
      <w:proofErr w:type="spellEnd"/>
      <w:r w:rsidRPr="005C045A">
        <w:rPr>
          <w:rFonts w:ascii="Times New Roman" w:eastAsia="Times New Roman" w:hAnsi="Times New Roman" w:cs="Times New Roman"/>
          <w:color w:val="000000"/>
          <w:sz w:val="28"/>
          <w:szCs w:val="28"/>
          <w:lang w:eastAsia="ru-RU"/>
        </w:rPr>
        <w:t>" на базе общеобразовательных организаций в деятельность Центров "Точка роста" в следующих форматах:</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1. Проведение совместных мероприятий для обучающихся и педагогических работников общеобразовательных организаций, на базе которых создаются Центры "Точка роста" (обучающие семинары и мастер-классы по вопросам использования оборудования, средств обучения и воспитания; методические мероприятия по вопросам разработки, совершенствования и внедрения программ дополнительного образования естественно-научной и технической направленности, организации внеурочной деятельности обучающихся; индивидуальные консультации для педагогических работников, в том числе в режиме онлайн; занятия проектной деятельностью; конкурсные и соревновательные мероприятия для детей и др.).</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2. Организация и участие в региональных и межрегиональных конференциях, фестивалях, форумах по обмену опытом работы на </w:t>
      </w:r>
      <w:proofErr w:type="spellStart"/>
      <w:r w:rsidRPr="005C045A">
        <w:rPr>
          <w:rFonts w:ascii="Times New Roman" w:eastAsia="Times New Roman" w:hAnsi="Times New Roman" w:cs="Times New Roman"/>
          <w:color w:val="000000"/>
          <w:sz w:val="28"/>
          <w:szCs w:val="28"/>
          <w:lang w:eastAsia="ru-RU"/>
        </w:rPr>
        <w:t>высокооснащенных</w:t>
      </w:r>
      <w:proofErr w:type="spellEnd"/>
      <w:r w:rsidRPr="005C045A">
        <w:rPr>
          <w:rFonts w:ascii="Times New Roman" w:eastAsia="Times New Roman" w:hAnsi="Times New Roman" w:cs="Times New Roman"/>
          <w:color w:val="000000"/>
          <w:sz w:val="28"/>
          <w:szCs w:val="28"/>
          <w:lang w:eastAsia="ru-RU"/>
        </w:rPr>
        <w:t xml:space="preserve"> </w:t>
      </w:r>
      <w:proofErr w:type="spellStart"/>
      <w:r w:rsidRPr="005C045A">
        <w:rPr>
          <w:rFonts w:ascii="Times New Roman" w:eastAsia="Times New Roman" w:hAnsi="Times New Roman" w:cs="Times New Roman"/>
          <w:color w:val="000000"/>
          <w:sz w:val="28"/>
          <w:szCs w:val="28"/>
          <w:lang w:eastAsia="ru-RU"/>
        </w:rPr>
        <w:t>ученико</w:t>
      </w:r>
      <w:proofErr w:type="spellEnd"/>
      <w:r w:rsidRPr="005C045A">
        <w:rPr>
          <w:rFonts w:ascii="Times New Roman" w:eastAsia="Times New Roman" w:hAnsi="Times New Roman" w:cs="Times New Roman"/>
          <w:color w:val="000000"/>
          <w:sz w:val="28"/>
          <w:szCs w:val="28"/>
          <w:lang w:eastAsia="ru-RU"/>
        </w:rPr>
        <w:t>-местах, в том числе по реализации предметных областей "Естественно-научные предметы", "Естественные науки", "Математика и информатика", "Обществознание и естествознание", "Технология", реализации программ дополнительного образования естественно-научной и технической направленностей.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3. Участие региональных координаторов, представителей Центров "Точка роста" и иных центров, функционирующих на территории субъекта Российской Федерации, в мероприятиях Федерального оператора.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График мероприятий, квоты участия, содержание и технологии проведения мероприятий доводятся Федеральным оператором дополнительно.</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4. Организация и участие в проведении информационных кампаний по популяризации национального проекта "Образование" на территории субъектов Российской Федерации, в том числе событиях, проводимых для консультационного сопровождения родителей (законных представителей) обучающихся о возможностях для развития способностей и талантов их детей, профессиональной ориентации и успешного освоения основных образовательных программ общего образования.</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 xml:space="preserve">5. Разработка, утверждение и реализация сетевых образовательных программ с использованием </w:t>
      </w:r>
      <w:proofErr w:type="spellStart"/>
      <w:r w:rsidRPr="005C045A">
        <w:rPr>
          <w:rFonts w:ascii="Times New Roman" w:eastAsia="Times New Roman" w:hAnsi="Times New Roman" w:cs="Times New Roman"/>
          <w:color w:val="000000"/>
          <w:sz w:val="28"/>
          <w:szCs w:val="28"/>
          <w:lang w:eastAsia="ru-RU"/>
        </w:rPr>
        <w:t>высокооснащенных</w:t>
      </w:r>
      <w:proofErr w:type="spellEnd"/>
      <w:r w:rsidRPr="005C045A">
        <w:rPr>
          <w:rFonts w:ascii="Times New Roman" w:eastAsia="Times New Roman" w:hAnsi="Times New Roman" w:cs="Times New Roman"/>
          <w:color w:val="000000"/>
          <w:sz w:val="28"/>
          <w:szCs w:val="28"/>
          <w:lang w:eastAsia="ru-RU"/>
        </w:rPr>
        <w:t xml:space="preserve"> </w:t>
      </w:r>
      <w:proofErr w:type="spellStart"/>
      <w:r w:rsidRPr="005C045A">
        <w:rPr>
          <w:rFonts w:ascii="Times New Roman" w:eastAsia="Times New Roman" w:hAnsi="Times New Roman" w:cs="Times New Roman"/>
          <w:color w:val="000000"/>
          <w:sz w:val="28"/>
          <w:szCs w:val="28"/>
          <w:lang w:eastAsia="ru-RU"/>
        </w:rPr>
        <w:t>ученико</w:t>
      </w:r>
      <w:proofErr w:type="spellEnd"/>
      <w:r w:rsidRPr="005C045A">
        <w:rPr>
          <w:rFonts w:ascii="Times New Roman" w:eastAsia="Times New Roman" w:hAnsi="Times New Roman" w:cs="Times New Roman"/>
          <w:color w:val="000000"/>
          <w:sz w:val="28"/>
          <w:szCs w:val="28"/>
          <w:lang w:eastAsia="ru-RU"/>
        </w:rPr>
        <w:t>-мест, созданных в субъекте Российской Федерации в рамках национального проекта "Образование", в том числе совместно с детскими технопарками "</w:t>
      </w:r>
      <w:proofErr w:type="spellStart"/>
      <w:r w:rsidRPr="005C045A">
        <w:rPr>
          <w:rFonts w:ascii="Times New Roman" w:eastAsia="Times New Roman" w:hAnsi="Times New Roman" w:cs="Times New Roman"/>
          <w:color w:val="000000"/>
          <w:sz w:val="28"/>
          <w:szCs w:val="28"/>
          <w:lang w:eastAsia="ru-RU"/>
        </w:rPr>
        <w:t>Кванториум</w:t>
      </w:r>
      <w:proofErr w:type="spellEnd"/>
      <w:r w:rsidRPr="005C045A">
        <w:rPr>
          <w:rFonts w:ascii="Times New Roman" w:eastAsia="Times New Roman" w:hAnsi="Times New Roman" w:cs="Times New Roman"/>
          <w:color w:val="000000"/>
          <w:sz w:val="28"/>
          <w:szCs w:val="28"/>
          <w:lang w:eastAsia="ru-RU"/>
        </w:rPr>
        <w:t>", создаваемыми на базе общеобразовательных организаций.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6. Вовлечение обучающихся общеобразовательных организаций, на базе которых создаются и функционируют Центры "Точка роста", в различные формы сопровождения и наставничества с использованием кадровых ресурсов, обеспечивающих работу </w:t>
      </w:r>
      <w:proofErr w:type="spellStart"/>
      <w:r w:rsidRPr="005C045A">
        <w:rPr>
          <w:rFonts w:ascii="Times New Roman" w:eastAsia="Times New Roman" w:hAnsi="Times New Roman" w:cs="Times New Roman"/>
          <w:color w:val="000000"/>
          <w:sz w:val="28"/>
          <w:szCs w:val="28"/>
          <w:lang w:eastAsia="ru-RU"/>
        </w:rPr>
        <w:t>высокооснащенных</w:t>
      </w:r>
      <w:proofErr w:type="spellEnd"/>
      <w:r w:rsidRPr="005C045A">
        <w:rPr>
          <w:rFonts w:ascii="Times New Roman" w:eastAsia="Times New Roman" w:hAnsi="Times New Roman" w:cs="Times New Roman"/>
          <w:color w:val="000000"/>
          <w:sz w:val="28"/>
          <w:szCs w:val="28"/>
          <w:lang w:eastAsia="ru-RU"/>
        </w:rPr>
        <w:t xml:space="preserve"> </w:t>
      </w:r>
      <w:proofErr w:type="spellStart"/>
      <w:r w:rsidRPr="005C045A">
        <w:rPr>
          <w:rFonts w:ascii="Times New Roman" w:eastAsia="Times New Roman" w:hAnsi="Times New Roman" w:cs="Times New Roman"/>
          <w:color w:val="000000"/>
          <w:sz w:val="28"/>
          <w:szCs w:val="28"/>
          <w:lang w:eastAsia="ru-RU"/>
        </w:rPr>
        <w:t>ученико</w:t>
      </w:r>
      <w:proofErr w:type="spellEnd"/>
      <w:r w:rsidRPr="005C045A">
        <w:rPr>
          <w:rFonts w:ascii="Times New Roman" w:eastAsia="Times New Roman" w:hAnsi="Times New Roman" w:cs="Times New Roman"/>
          <w:color w:val="000000"/>
          <w:sz w:val="28"/>
          <w:szCs w:val="28"/>
          <w:lang w:eastAsia="ru-RU"/>
        </w:rPr>
        <w:t xml:space="preserve">-мест, созданных в субъекте Российской Федерации в рамках национального проекта "Образование" с учетом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утвержденной распоряжением </w:t>
      </w:r>
      <w:proofErr w:type="spellStart"/>
      <w:r w:rsidRPr="005C045A">
        <w:rPr>
          <w:rFonts w:ascii="Times New Roman" w:eastAsia="Times New Roman" w:hAnsi="Times New Roman" w:cs="Times New Roman"/>
          <w:color w:val="000000"/>
          <w:sz w:val="28"/>
          <w:szCs w:val="28"/>
          <w:lang w:eastAsia="ru-RU"/>
        </w:rPr>
        <w:t>Минпросвещения</w:t>
      </w:r>
      <w:proofErr w:type="spellEnd"/>
      <w:r w:rsidRPr="005C045A">
        <w:rPr>
          <w:rFonts w:ascii="Times New Roman" w:eastAsia="Times New Roman" w:hAnsi="Times New Roman" w:cs="Times New Roman"/>
          <w:color w:val="000000"/>
          <w:sz w:val="28"/>
          <w:szCs w:val="28"/>
          <w:lang w:eastAsia="ru-RU"/>
        </w:rPr>
        <w:t xml:space="preserve"> России от </w:t>
      </w:r>
      <w:hyperlink r:id="rId8" w:history="1">
        <w:r w:rsidRPr="005C045A">
          <w:rPr>
            <w:rFonts w:ascii="Times New Roman" w:eastAsia="Times New Roman" w:hAnsi="Times New Roman" w:cs="Times New Roman"/>
            <w:color w:val="154285"/>
            <w:sz w:val="28"/>
            <w:szCs w:val="28"/>
            <w:u w:val="single"/>
            <w:lang w:eastAsia="ru-RU"/>
          </w:rPr>
          <w:t>25 декабря 2019 года N Р-145</w:t>
        </w:r>
      </w:hyperlink>
      <w:r w:rsidRPr="005C045A">
        <w:rPr>
          <w:rFonts w:ascii="Times New Roman" w:eastAsia="Times New Roman" w:hAnsi="Times New Roman" w:cs="Times New Roman"/>
          <w:color w:val="000000"/>
          <w:sz w:val="28"/>
          <w:szCs w:val="28"/>
          <w:lang w:eastAsia="ru-RU"/>
        </w:rPr>
        <w:t>.</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Предполагается, что Центры "Точка роста" могут использовать инфраструктуру и кадровые ресурсы детских технопарков "</w:t>
      </w:r>
      <w:proofErr w:type="spellStart"/>
      <w:r w:rsidRPr="005C045A">
        <w:rPr>
          <w:rFonts w:ascii="Times New Roman" w:eastAsia="Times New Roman" w:hAnsi="Times New Roman" w:cs="Times New Roman"/>
          <w:color w:val="000000"/>
          <w:sz w:val="28"/>
          <w:szCs w:val="28"/>
          <w:lang w:eastAsia="ru-RU"/>
        </w:rPr>
        <w:t>Кванториум</w:t>
      </w:r>
      <w:proofErr w:type="spellEnd"/>
      <w:r w:rsidRPr="005C045A">
        <w:rPr>
          <w:rFonts w:ascii="Times New Roman" w:eastAsia="Times New Roman" w:hAnsi="Times New Roman" w:cs="Times New Roman"/>
          <w:color w:val="000000"/>
          <w:sz w:val="28"/>
          <w:szCs w:val="28"/>
          <w:lang w:eastAsia="ru-RU"/>
        </w:rPr>
        <w:t>", создаваемых на базе общеобразовательных организаций, для развития проектной деятельности обучающихся. Педагогическим работникам Центров "Точка роста" рекомендуется обеспечивать участие обучающихся в мероприятиях детских технопарков "</w:t>
      </w:r>
      <w:proofErr w:type="spellStart"/>
      <w:r w:rsidRPr="005C045A">
        <w:rPr>
          <w:rFonts w:ascii="Times New Roman" w:eastAsia="Times New Roman" w:hAnsi="Times New Roman" w:cs="Times New Roman"/>
          <w:color w:val="000000"/>
          <w:sz w:val="28"/>
          <w:szCs w:val="28"/>
          <w:lang w:eastAsia="ru-RU"/>
        </w:rPr>
        <w:t>Кванториум</w:t>
      </w:r>
      <w:proofErr w:type="spellEnd"/>
      <w:r w:rsidRPr="005C045A">
        <w:rPr>
          <w:rFonts w:ascii="Times New Roman" w:eastAsia="Times New Roman" w:hAnsi="Times New Roman" w:cs="Times New Roman"/>
          <w:color w:val="000000"/>
          <w:sz w:val="28"/>
          <w:szCs w:val="28"/>
          <w:lang w:eastAsia="ru-RU"/>
        </w:rPr>
        <w:t>" с удаленным использованием оборудования, средств обучения и воспитания, а также принимать участие в организуемых ими семинарах по демонстрации эффективного опыта реализации образовательных естественно-научной, технологической и иных направленностей среди иных общеобразовательных организаций, расположенных на территории субъекта Российской Федерации.</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Региональному координатору на территории субъекта Российской Федерации рекомендуется обеспечивать работу по поддержке общеобразовательных организаций, показывающих низкие образовательные результаты с использованием инфраструктуры и кадрового обеспечения Центров "Точка роста" в различных форматах (совместная реализация образовательных программ, проведение обучающих мероприятий, семинаров, консультаций и пр.).</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Региональному координатору рекомендуется обеспечить формирование и утверждение единого комплексного плана мероприятий по организационно-методической поддержке инфраструктуры национального проекта "Образование", включающего мероприятия по поддержке Центров "Точка роста", функционирующих в субъекте Российской Федерации на учебный год и утверждение его органом исполнительной власти субъекта Российской </w:t>
      </w:r>
      <w:r w:rsidRPr="005C045A">
        <w:rPr>
          <w:rFonts w:ascii="Times New Roman" w:eastAsia="Times New Roman" w:hAnsi="Times New Roman" w:cs="Times New Roman"/>
          <w:color w:val="000000"/>
          <w:sz w:val="28"/>
          <w:szCs w:val="28"/>
          <w:lang w:eastAsia="ru-RU"/>
        </w:rPr>
        <w:lastRenderedPageBreak/>
        <w:t>Федерации, осуществляющего государственное управление в сфере образования, ежегодно не позднее начала учебного года.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 проведении различных мероприятий, связанных с реализацией национального проекта "Образование", использованием соответствующей инфраструктуры, кадровых и финансовых ресурсов, рекомендуется обеспечивать их информационное сопровождение, в том числе в средствах массовой информации, социальных сетях, на сайтах образовательных организаций с использованием фирменной символики национального проекта "Образование".</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Федеральным оператором разрабатываются и направляются в адрес Региональных координаторов инструктивно-методические материалы по вопросам организационно-методической поддержки создания и функционирования Центров "Точка роста", содержащие в том числе рекомендации по формированию единых комплексных планов мероприятий по организационно-методической поддержке инфраструктуры национального проекта "Образование".</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Информацию о проводимых с участием Центров "Точка роста" мероприятиях рекомендуется предоставлять в рамках ежеквартального мониторинга.</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5. Финансовое обеспечение деятельности Центров "Точка роста"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Финансовое обеспечение функционирования Центров "Точка роста" рекомендуется осуществлять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применяемыми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утвержденными приказом </w:t>
      </w:r>
      <w:proofErr w:type="spellStart"/>
      <w:r w:rsidRPr="005C045A">
        <w:rPr>
          <w:rFonts w:ascii="Times New Roman" w:eastAsia="Times New Roman" w:hAnsi="Times New Roman" w:cs="Times New Roman"/>
          <w:color w:val="000000"/>
          <w:sz w:val="28"/>
          <w:szCs w:val="28"/>
          <w:lang w:eastAsia="ru-RU"/>
        </w:rPr>
        <w:t>Минпросвещения</w:t>
      </w:r>
      <w:proofErr w:type="spellEnd"/>
      <w:r w:rsidRPr="005C045A">
        <w:rPr>
          <w:rFonts w:ascii="Times New Roman" w:eastAsia="Times New Roman" w:hAnsi="Times New Roman" w:cs="Times New Roman"/>
          <w:color w:val="000000"/>
          <w:sz w:val="28"/>
          <w:szCs w:val="28"/>
          <w:lang w:eastAsia="ru-RU"/>
        </w:rPr>
        <w:t xml:space="preserve"> России от 20 ноября 2018 г. N 235 и включающими в том числе:</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оплату труда педагогических работников общеобразовательной организации, обеспечивающих функционирование Центров "Точка роста";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приобретение достаточного объема основных средств и материальных запасов, в том числе расходных материалов, для обеспечения реализации образовательных программ в объеме, необходимом для непрерывной реализации образовательного процесса;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 обеспечение текущей деятельности общеобразовательной организации по обеспечению образовательного процесса.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 формировании бюджета субъекта Российской Федерации (местного бюджета) на очередной год и плановый период рекомендуется предусматривать бюджетные ассигнования в объеме, необходимом для финансового обеспечения функционирования Центров "Точка роста", в том числе с учетом соответствующей индексации.</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 реализации мероприятий в целях создания и функционирования Центров "Точка роста" субъекту Российской Федерации обеспечивается соблюдение требований антимонопольного законодательства и законодательства о контрактной системе в сфере закупок товаров, работ, услуг для обеспечения государственных и муниципальных нужд, в том числе в части обеспечения повышения эффективности, исключения ограничения круга поставщиков и поставляемого оборудования, повышения результативности осуществления закупок, обеспечения прозрачности, предотвращения коррупции и других злоупотреблений.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При осуществлении субъектами Российской Федерации закупок товаров, работ, услуг с целью приобретения оборудования, расходных материалов, средств обучения и воспитания в целях создания Центров "Точка роста" за счет субсидии из федерального бюджета бюджетам субъектов Российской Федерации и бюджету города Байконура на </w:t>
      </w:r>
      <w:proofErr w:type="spellStart"/>
      <w:r w:rsidRPr="005C045A">
        <w:rPr>
          <w:rFonts w:ascii="Times New Roman" w:eastAsia="Times New Roman" w:hAnsi="Times New Roman" w:cs="Times New Roman"/>
          <w:color w:val="000000"/>
          <w:sz w:val="28"/>
          <w:szCs w:val="28"/>
          <w:lang w:eastAsia="ru-RU"/>
        </w:rPr>
        <w:t>софинансирование</w:t>
      </w:r>
      <w:proofErr w:type="spellEnd"/>
      <w:r w:rsidRPr="005C045A">
        <w:rPr>
          <w:rFonts w:ascii="Times New Roman" w:eastAsia="Times New Roman" w:hAnsi="Times New Roman" w:cs="Times New Roman"/>
          <w:color w:val="000000"/>
          <w:sz w:val="28"/>
          <w:szCs w:val="28"/>
          <w:lang w:eastAsia="ru-RU"/>
        </w:rPr>
        <w:t xml:space="preserve"> расходных обязательств субъектов Российской Федерации и города Байконур осуществляется с учетом требований Федерального закона от 5 апреля 2013 г. N 44-</w:t>
      </w:r>
      <w:hyperlink r:id="rId9" w:history="1">
        <w:r w:rsidRPr="005C045A">
          <w:rPr>
            <w:rFonts w:ascii="Times New Roman" w:eastAsia="Times New Roman" w:hAnsi="Times New Roman" w:cs="Times New Roman"/>
            <w:color w:val="154285"/>
            <w:sz w:val="28"/>
            <w:szCs w:val="28"/>
            <w:u w:val="single"/>
            <w:lang w:eastAsia="ru-RU"/>
          </w:rPr>
          <w:t>ФЗ "О контрактной системе в сфере закупок товаров, работ, услуг для обеспечения государственных и муниципальных нужд"</w:t>
        </w:r>
      </w:hyperlink>
      <w:r w:rsidRPr="005C045A">
        <w:rPr>
          <w:rFonts w:ascii="Times New Roman" w:eastAsia="Times New Roman" w:hAnsi="Times New Roman" w:cs="Times New Roman"/>
          <w:color w:val="000000"/>
          <w:sz w:val="28"/>
          <w:szCs w:val="28"/>
          <w:lang w:eastAsia="ru-RU"/>
        </w:rPr>
        <w:t> и Федерального закона от </w:t>
      </w:r>
      <w:hyperlink r:id="rId10" w:history="1">
        <w:r w:rsidRPr="005C045A">
          <w:rPr>
            <w:rFonts w:ascii="Times New Roman" w:eastAsia="Times New Roman" w:hAnsi="Times New Roman" w:cs="Times New Roman"/>
            <w:color w:val="154285"/>
            <w:sz w:val="28"/>
            <w:szCs w:val="28"/>
            <w:u w:val="single"/>
            <w:lang w:eastAsia="ru-RU"/>
          </w:rPr>
          <w:t>18 июля 2011 г. N 223-ФЗ</w:t>
        </w:r>
      </w:hyperlink>
      <w:r w:rsidRPr="005C045A">
        <w:rPr>
          <w:rFonts w:ascii="Times New Roman" w:eastAsia="Times New Roman" w:hAnsi="Times New Roman" w:cs="Times New Roman"/>
          <w:color w:val="000000"/>
          <w:sz w:val="28"/>
          <w:szCs w:val="28"/>
          <w:lang w:eastAsia="ru-RU"/>
        </w:rPr>
        <w:t> "О закупках товаров, работ, услуг отдельными видами юридических лиц", а также положений постановлений Правительства Российской Федерации, в том числе:</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от </w:t>
      </w:r>
      <w:hyperlink r:id="rId11" w:history="1">
        <w:r w:rsidRPr="005C045A">
          <w:rPr>
            <w:rFonts w:ascii="Times New Roman" w:eastAsia="Times New Roman" w:hAnsi="Times New Roman" w:cs="Times New Roman"/>
            <w:color w:val="154285"/>
            <w:sz w:val="28"/>
            <w:szCs w:val="28"/>
            <w:u w:val="single"/>
            <w:lang w:eastAsia="ru-RU"/>
          </w:rPr>
          <w:t>3 декабря 2020 г. N 2013</w:t>
        </w:r>
      </w:hyperlink>
      <w:r w:rsidRPr="005C045A">
        <w:rPr>
          <w:rFonts w:ascii="Times New Roman" w:eastAsia="Times New Roman" w:hAnsi="Times New Roman" w:cs="Times New Roman"/>
          <w:color w:val="000000"/>
          <w:sz w:val="28"/>
          <w:szCs w:val="28"/>
          <w:lang w:eastAsia="ru-RU"/>
        </w:rPr>
        <w:t> "О минимальной доле закупок товаров российского происхождения";</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от </w:t>
      </w:r>
      <w:hyperlink r:id="rId12" w:history="1">
        <w:r w:rsidRPr="005C045A">
          <w:rPr>
            <w:rFonts w:ascii="Times New Roman" w:eastAsia="Times New Roman" w:hAnsi="Times New Roman" w:cs="Times New Roman"/>
            <w:color w:val="154285"/>
            <w:sz w:val="28"/>
            <w:szCs w:val="28"/>
            <w:u w:val="single"/>
            <w:lang w:eastAsia="ru-RU"/>
          </w:rPr>
          <w:t>3 декабря 2020 г. N 2014</w:t>
        </w:r>
      </w:hyperlink>
      <w:r w:rsidRPr="005C045A">
        <w:rPr>
          <w:rFonts w:ascii="Times New Roman" w:eastAsia="Times New Roman" w:hAnsi="Times New Roman" w:cs="Times New Roman"/>
          <w:color w:val="000000"/>
          <w:sz w:val="28"/>
          <w:szCs w:val="28"/>
          <w:lang w:eastAsia="ru-RU"/>
        </w:rPr>
        <w:t> "О минимальной обязательной доле закупок российских товаров и ее достижении заказчиком";</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 от 30 апреля 2020 г. N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от </w:t>
      </w:r>
      <w:hyperlink r:id="rId13" w:history="1">
        <w:r w:rsidRPr="005C045A">
          <w:rPr>
            <w:rFonts w:ascii="Times New Roman" w:eastAsia="Times New Roman" w:hAnsi="Times New Roman" w:cs="Times New Roman"/>
            <w:color w:val="154285"/>
            <w:sz w:val="28"/>
            <w:szCs w:val="28"/>
            <w:u w:val="single"/>
            <w:lang w:eastAsia="ru-RU"/>
          </w:rPr>
          <w:t>16 сентября 2016 г. N 925</w:t>
        </w:r>
      </w:hyperlink>
      <w:r w:rsidRPr="005C045A">
        <w:rPr>
          <w:rFonts w:ascii="Times New Roman" w:eastAsia="Times New Roman" w:hAnsi="Times New Roman" w:cs="Times New Roman"/>
          <w:color w:val="000000"/>
          <w:sz w:val="28"/>
          <w:szCs w:val="28"/>
          <w:lang w:eastAsia="ru-RU"/>
        </w:rPr>
        <w:t>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от </w:t>
      </w:r>
      <w:hyperlink r:id="rId14" w:history="1">
        <w:r w:rsidRPr="005C045A">
          <w:rPr>
            <w:rFonts w:ascii="Times New Roman" w:eastAsia="Times New Roman" w:hAnsi="Times New Roman" w:cs="Times New Roman"/>
            <w:color w:val="154285"/>
            <w:sz w:val="28"/>
            <w:szCs w:val="28"/>
            <w:u w:val="single"/>
            <w:lang w:eastAsia="ru-RU"/>
          </w:rPr>
          <w:t>16 ноября 2015 г. N 1236</w:t>
        </w:r>
      </w:hyperlink>
      <w:r w:rsidRPr="005C045A">
        <w:rPr>
          <w:rFonts w:ascii="Times New Roman" w:eastAsia="Times New Roman" w:hAnsi="Times New Roman" w:cs="Times New Roman"/>
          <w:color w:val="000000"/>
          <w:sz w:val="28"/>
          <w:szCs w:val="28"/>
          <w:lang w:eastAsia="ru-RU"/>
        </w:rPr>
        <w:t>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от </w:t>
      </w:r>
      <w:hyperlink r:id="rId15" w:history="1">
        <w:r w:rsidRPr="005C045A">
          <w:rPr>
            <w:rFonts w:ascii="Times New Roman" w:eastAsia="Times New Roman" w:hAnsi="Times New Roman" w:cs="Times New Roman"/>
            <w:color w:val="154285"/>
            <w:sz w:val="28"/>
            <w:szCs w:val="28"/>
            <w:u w:val="single"/>
            <w:lang w:eastAsia="ru-RU"/>
          </w:rPr>
          <w:t>10 июля 2019 г. N 878</w:t>
        </w:r>
      </w:hyperlink>
      <w:r w:rsidRPr="005C045A">
        <w:rPr>
          <w:rFonts w:ascii="Times New Roman" w:eastAsia="Times New Roman" w:hAnsi="Times New Roman" w:cs="Times New Roman"/>
          <w:color w:val="000000"/>
          <w:sz w:val="28"/>
          <w:szCs w:val="28"/>
          <w:lang w:eastAsia="ru-RU"/>
        </w:rPr>
        <w:t>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w:t>
      </w:r>
      <w:hyperlink r:id="rId16" w:history="1">
        <w:r w:rsidRPr="005C045A">
          <w:rPr>
            <w:rFonts w:ascii="Times New Roman" w:eastAsia="Times New Roman" w:hAnsi="Times New Roman" w:cs="Times New Roman"/>
            <w:color w:val="154285"/>
            <w:sz w:val="28"/>
            <w:szCs w:val="28"/>
            <w:u w:val="single"/>
            <w:lang w:eastAsia="ru-RU"/>
          </w:rPr>
          <w:t>16 сентября 2016 г. N 925</w:t>
        </w:r>
      </w:hyperlink>
      <w:r w:rsidRPr="005C045A">
        <w:rPr>
          <w:rFonts w:ascii="Times New Roman" w:eastAsia="Times New Roman" w:hAnsi="Times New Roman" w:cs="Times New Roman"/>
          <w:color w:val="000000"/>
          <w:sz w:val="28"/>
          <w:szCs w:val="28"/>
          <w:lang w:eastAsia="ru-RU"/>
        </w:rPr>
        <w:t> и признании утратившими силу некоторых актов Правительства Российской Федерации";</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от </w:t>
      </w:r>
      <w:hyperlink r:id="rId17" w:history="1">
        <w:r w:rsidRPr="005C045A">
          <w:rPr>
            <w:rFonts w:ascii="Times New Roman" w:eastAsia="Times New Roman" w:hAnsi="Times New Roman" w:cs="Times New Roman"/>
            <w:color w:val="154285"/>
            <w:sz w:val="28"/>
            <w:szCs w:val="28"/>
            <w:u w:val="single"/>
            <w:lang w:eastAsia="ru-RU"/>
          </w:rPr>
          <w:t>28 августа 2021 г. N 1432</w:t>
        </w:r>
      </w:hyperlink>
      <w:r w:rsidRPr="005C045A">
        <w:rPr>
          <w:rFonts w:ascii="Times New Roman" w:eastAsia="Times New Roman" w:hAnsi="Times New Roman" w:cs="Times New Roman"/>
          <w:color w:val="000000"/>
          <w:sz w:val="28"/>
          <w:szCs w:val="28"/>
          <w:lang w:eastAsia="ru-RU"/>
        </w:rPr>
        <w:t> "О внесении изменений в некоторые акты Правительства Российской Федерации";</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и иных нормативных правовых актов в сфере закупок.</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6. Заключительные положения</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Оперативное управление деятельностью Центра "Точка роста" осуществляется общеобразовательной организацией самостоятельно с учетом положений настоящих Рекомендаций.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Региональному координатору рекомендуется осуществлять регулярный мониторинг деятельности Центров "Точка роста" в субъекте Российской Федерации. Контроль за результативностью функционирования Центра "Точка роста" в общеобразовательной организации рекомендуется осуществлять непосредственно руководителю данной организации.</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Региональному координатору рекомендуется обеспечивать предоставление необходимой отчетности о деятельности Центров "Точка роста" в сроки и по форме, определяемой Министерством просвещения Российской Федерации и (или) Федеральным оператором в рамках федерального проекта "Современная школа" национального проекта "Образование".</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С момента создания Центров "Точка роста" и далее в ежеквартальном режиме в соответствии со сроками периодического мониторинга реализации региональных проектов "Современная школа" в ГИИС "Электронный бюджет" региональному координатору рекомендуется предусматривать подготовку отчетов о результатах ежеквартального мониторинга показателей деятельности Центров "Точка роста", а также о реализации комплексного плана по формам, рекомендованным Федеральным оператором.</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Федеральный оператор обеспечивает подготовку рекомендаций по формированию информационно-аналитических материалов субъектов Российской Федерации о результатах ежеквартального мониторинга функционирования Центров "Точка роста". Рекомендации Федерального оператора включают разъяснения по анализу результативности деятельности Центров "Точка роста" и расчету текущих значений показателей функционирования Центров "Точка роста".</w:t>
      </w:r>
    </w:p>
    <w:p w:rsidR="005C045A" w:rsidRPr="005C045A" w:rsidRDefault="005C045A" w:rsidP="005C045A">
      <w:pPr>
        <w:shd w:val="clear" w:color="auto" w:fill="FFFFFF"/>
        <w:spacing w:before="240" w:after="240" w:line="240" w:lineRule="auto"/>
        <w:jc w:val="right"/>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Приложение 1</w:t>
      </w:r>
    </w:p>
    <w:p w:rsidR="005C045A" w:rsidRPr="005C045A" w:rsidRDefault="005C045A" w:rsidP="005C045A">
      <w:pPr>
        <w:shd w:val="clear" w:color="auto" w:fill="FFFFFF"/>
        <w:spacing w:before="240" w:after="240" w:line="240" w:lineRule="auto"/>
        <w:jc w:val="right"/>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к Методическим рекомендациям</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КОМПЛЕКС МЕР ("ДОРОЖНАЯ КАРТА")</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ПО СОЗДАНИЮ И ФУНКЦИОНИРОВАНИЮ В ОБЩЕОБРАЗОВАТЕЛЬНЫХ</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ОРГАНИЗАЦИЯХ, РАСПОЛОЖЕННЫХ В СЕЛЬСКОЙ МЕСТНОСТИ И МАЛЫХ</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ГОРОДАХ, ЦЕНТРОВ ОБРАЗОВАНИЯ ЕСТЕСТВЕННО-НАУЧНОЙ,</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И ТЕХНОЛОГИЧЕСКОЙ НАПРАВЛЕННОСТЕЙ "ТОЧКА РОСТА"</w:t>
      </w:r>
    </w:p>
    <w:tbl>
      <w:tblPr>
        <w:tblW w:w="10500" w:type="dxa"/>
        <w:shd w:val="clear" w:color="auto" w:fill="FFFFFF"/>
        <w:tblCellMar>
          <w:left w:w="0" w:type="dxa"/>
          <w:right w:w="0" w:type="dxa"/>
        </w:tblCellMar>
        <w:tblLook w:val="04A0" w:firstRow="1" w:lastRow="0" w:firstColumn="1" w:lastColumn="0" w:noHBand="0" w:noVBand="1"/>
      </w:tblPr>
      <w:tblGrid>
        <w:gridCol w:w="431"/>
        <w:gridCol w:w="301"/>
        <w:gridCol w:w="2819"/>
        <w:gridCol w:w="2129"/>
        <w:gridCol w:w="2712"/>
        <w:gridCol w:w="2108"/>
      </w:tblGrid>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N</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Наименование мероприятия</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Ответственный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Результат</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Срок</w:t>
            </w:r>
          </w:p>
        </w:tc>
      </w:tr>
      <w:tr w:rsidR="005C045A" w:rsidRPr="005C045A" w:rsidTr="005C045A">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1.</w:t>
            </w:r>
          </w:p>
        </w:tc>
        <w:tc>
          <w:tcPr>
            <w:tcW w:w="0" w:type="auto"/>
            <w:gridSpan w:val="2"/>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Утверждены:</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Региональный координатор</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 xml:space="preserve">Распорядительный акт регионального органа исполнительной власти, осуществляющего государственное </w:t>
            </w:r>
            <w:r w:rsidRPr="005C045A">
              <w:rPr>
                <w:rFonts w:ascii="Times New Roman" w:eastAsia="Times New Roman" w:hAnsi="Times New Roman" w:cs="Times New Roman"/>
                <w:b/>
                <w:bCs/>
                <w:color w:val="000000"/>
                <w:sz w:val="28"/>
                <w:szCs w:val="28"/>
                <w:lang w:eastAsia="ru-RU"/>
              </w:rPr>
              <w:lastRenderedPageBreak/>
              <w:t>управление в сфере образования (далее - распорядительный акт РОИВ)</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lastRenderedPageBreak/>
              <w:t>30 ноября X - 1 года</w:t>
            </w:r>
          </w:p>
        </w:tc>
      </w:tr>
      <w:tr w:rsidR="005C045A" w:rsidRPr="005C045A" w:rsidTr="005C045A">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c>
          <w:tcPr>
            <w:tcW w:w="0" w:type="auto"/>
            <w:tcBorders>
              <w:top w:val="nil"/>
              <w:left w:val="single" w:sz="8" w:space="0" w:color="auto"/>
              <w:bottom w:val="nil"/>
              <w:right w:val="nil"/>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1.</w:t>
            </w:r>
          </w:p>
        </w:tc>
        <w:tc>
          <w:tcPr>
            <w:tcW w:w="0" w:type="auto"/>
            <w:tcBorders>
              <w:top w:val="nil"/>
              <w:left w:val="nil"/>
              <w:bottom w:val="nil"/>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комплекс мер (дорожная карта) по созданию и функционированию </w:t>
            </w:r>
            <w:r w:rsidRPr="005C045A">
              <w:rPr>
                <w:rFonts w:ascii="Times New Roman" w:eastAsia="Times New Roman" w:hAnsi="Times New Roman" w:cs="Times New Roman"/>
                <w:color w:val="000000"/>
                <w:sz w:val="28"/>
                <w:szCs w:val="28"/>
                <w:lang w:eastAsia="ru-RU"/>
              </w:rPr>
              <w:lastRenderedPageBreak/>
              <w:t>Центров "Точка роста";</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r>
      <w:tr w:rsidR="005C045A" w:rsidRPr="005C045A" w:rsidTr="005C045A">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c>
          <w:tcPr>
            <w:tcW w:w="0" w:type="auto"/>
            <w:gridSpan w:val="2"/>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2. должностное лицо в составе регионального ведомственного проектного офиса, ответственное за создание и функционирование центров "Точка роста";</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r>
      <w:tr w:rsidR="005C045A" w:rsidRPr="005C045A" w:rsidTr="005C045A">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c>
          <w:tcPr>
            <w:tcW w:w="0" w:type="auto"/>
            <w:gridSpan w:val="2"/>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3. показатели деятельности центров "Точка роста";</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r>
      <w:tr w:rsidR="005C045A" w:rsidRPr="005C045A" w:rsidTr="005C045A">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c>
          <w:tcPr>
            <w:tcW w:w="0" w:type="auto"/>
            <w:gridSpan w:val="2"/>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4. типовое Положение о деятельности Центров "Точка роста" на территории субъекта Российской Федерации</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r>
      <w:tr w:rsidR="005C045A" w:rsidRPr="005C045A" w:rsidTr="005C045A">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c>
          <w:tcPr>
            <w:tcW w:w="0" w:type="auto"/>
            <w:gridSpan w:val="2"/>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5. перечень общеобразовательных организаций, расположенных в сельской местности и малых городах, на базе которых планируется создание Центров "Точка роста".</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r>
      <w:tr w:rsidR="005C045A" w:rsidRPr="005C045A" w:rsidTr="005C045A">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2.</w:t>
            </w:r>
          </w:p>
        </w:tc>
        <w:tc>
          <w:tcPr>
            <w:tcW w:w="0" w:type="auto"/>
            <w:gridSpan w:val="2"/>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Сформирован и утвержден инфраструктурный лист</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Региональный координатор, федеральный оператор</w:t>
            </w: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 xml:space="preserve">1. Письмо РОИВ федеральному оператору о соответствии перечня </w:t>
            </w:r>
            <w:r w:rsidRPr="005C045A">
              <w:rPr>
                <w:rFonts w:ascii="Times New Roman" w:eastAsia="Times New Roman" w:hAnsi="Times New Roman" w:cs="Times New Roman"/>
                <w:b/>
                <w:bCs/>
                <w:color w:val="000000"/>
                <w:sz w:val="28"/>
                <w:szCs w:val="28"/>
                <w:lang w:eastAsia="ru-RU"/>
              </w:rPr>
              <w:lastRenderedPageBreak/>
              <w:t>оборудования, расходных материалов, средств обучения и воспитания единой технологической среде НПО</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lastRenderedPageBreak/>
              <w:t>Согласно отдельному графику</w:t>
            </w:r>
          </w:p>
        </w:tc>
      </w:tr>
      <w:tr w:rsidR="005C045A" w:rsidRPr="005C045A" w:rsidTr="005C045A">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c>
          <w:tcPr>
            <w:tcW w:w="0" w:type="auto"/>
            <w:gridSpan w:val="2"/>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2. Письмо федерального оператора о соответствии перечня оборудования, расходных материалов, средств обучения и воспитания единой технологической среде НПО</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r>
      <w:tr w:rsidR="005C045A" w:rsidRPr="005C045A" w:rsidTr="005C045A">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c>
          <w:tcPr>
            <w:tcW w:w="0" w:type="auto"/>
            <w:gridSpan w:val="2"/>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c>
          <w:tcPr>
            <w:tcW w:w="0" w:type="auto"/>
            <w:tcBorders>
              <w:top w:val="nil"/>
              <w:left w:val="single" w:sz="8" w:space="0" w:color="auto"/>
              <w:bottom w:val="nil"/>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3. Распорядительный акт РОИВ об утверждении перечня оборудования, расходных материалов, средств обучения и воспитания</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3.</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Сформирован типовой проект дизайна и зонирования помещений Центра "Точка роста"</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Региональный координатор</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 xml:space="preserve">1. Письмо РОИВ федеральному оператору о соответствии проекта дизайна и зонирования помещений Центра единой концепции </w:t>
            </w:r>
            <w:r w:rsidRPr="005C045A">
              <w:rPr>
                <w:rFonts w:ascii="Times New Roman" w:eastAsia="Times New Roman" w:hAnsi="Times New Roman" w:cs="Times New Roman"/>
                <w:b/>
                <w:bCs/>
                <w:color w:val="000000"/>
                <w:sz w:val="28"/>
                <w:szCs w:val="28"/>
                <w:lang w:eastAsia="ru-RU"/>
              </w:rPr>
              <w:lastRenderedPageBreak/>
              <w:t>образовательных пространств НПО</w:t>
            </w:r>
          </w:p>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2. Письмо федерального оператора о соответствии проекта дизайна и зонирования помещений Центра единой концепции образовательных пространств НПО</w:t>
            </w:r>
          </w:p>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3. Распорядительный акт РОИВ об утверждении типового проекта дизайна и зонирования помещений.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lastRenderedPageBreak/>
              <w:t>До 1 февраля X года</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lastRenderedPageBreak/>
              <w:t>4.</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Объявлены закупки товаров, работ, услуг для создания Центров "Точка роста"</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Региональный координатор</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Извещения о проведении закупок или реестр извещений (по форме федерального оператора)</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не позднее</w:t>
            </w:r>
          </w:p>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15 февраля X года</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5.</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Информационная справка об общеобразовательных организациях, на базе которых создаются Центры "Точка роста"</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Региональный координатор</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По форме, определяемой Федеральным оператором</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не позднее</w:t>
            </w:r>
          </w:p>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1 мая X года</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6.</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 xml:space="preserve">Реестр документов, подтверждающих приемку материальных ценностей и услуг в </w:t>
            </w:r>
            <w:r w:rsidRPr="005C045A">
              <w:rPr>
                <w:rFonts w:ascii="Times New Roman" w:eastAsia="Times New Roman" w:hAnsi="Times New Roman" w:cs="Times New Roman"/>
                <w:b/>
                <w:bCs/>
                <w:color w:val="000000"/>
                <w:sz w:val="28"/>
                <w:szCs w:val="28"/>
                <w:lang w:eastAsia="ru-RU"/>
              </w:rPr>
              <w:lastRenderedPageBreak/>
              <w:t>рамках создания Центров "Точка роста"</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lastRenderedPageBreak/>
              <w:t>Региональный координатор</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 xml:space="preserve">По форме, определяемой </w:t>
            </w:r>
            <w:proofErr w:type="spellStart"/>
            <w:r w:rsidRPr="005C045A">
              <w:rPr>
                <w:rFonts w:ascii="Times New Roman" w:eastAsia="Times New Roman" w:hAnsi="Times New Roman" w:cs="Times New Roman"/>
                <w:b/>
                <w:bCs/>
                <w:color w:val="000000"/>
                <w:sz w:val="28"/>
                <w:szCs w:val="28"/>
                <w:lang w:eastAsia="ru-RU"/>
              </w:rPr>
              <w:t>Минпросвещения</w:t>
            </w:r>
            <w:proofErr w:type="spellEnd"/>
            <w:r w:rsidRPr="005C045A">
              <w:rPr>
                <w:rFonts w:ascii="Times New Roman" w:eastAsia="Times New Roman" w:hAnsi="Times New Roman" w:cs="Times New Roman"/>
                <w:b/>
                <w:bCs/>
                <w:color w:val="000000"/>
                <w:sz w:val="28"/>
                <w:szCs w:val="28"/>
                <w:lang w:eastAsia="ru-RU"/>
              </w:rPr>
              <w:t xml:space="preserve"> России или </w:t>
            </w:r>
            <w:r w:rsidRPr="005C045A">
              <w:rPr>
                <w:rFonts w:ascii="Times New Roman" w:eastAsia="Times New Roman" w:hAnsi="Times New Roman" w:cs="Times New Roman"/>
                <w:b/>
                <w:bCs/>
                <w:color w:val="000000"/>
                <w:sz w:val="28"/>
                <w:szCs w:val="28"/>
                <w:lang w:eastAsia="ru-RU"/>
              </w:rPr>
              <w:lastRenderedPageBreak/>
              <w:t>федеральным оператором</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lastRenderedPageBreak/>
              <w:t>не позднее</w:t>
            </w:r>
          </w:p>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25 августа X года</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lastRenderedPageBreak/>
              <w:t>7.</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 xml:space="preserve">Проведен </w:t>
            </w:r>
            <w:proofErr w:type="spellStart"/>
            <w:r w:rsidRPr="005C045A">
              <w:rPr>
                <w:rFonts w:ascii="Times New Roman" w:eastAsia="Times New Roman" w:hAnsi="Times New Roman" w:cs="Times New Roman"/>
                <w:b/>
                <w:bCs/>
                <w:color w:val="000000"/>
                <w:sz w:val="28"/>
                <w:szCs w:val="28"/>
                <w:lang w:eastAsia="ru-RU"/>
              </w:rPr>
              <w:t>фотомониторинг</w:t>
            </w:r>
            <w:proofErr w:type="spellEnd"/>
            <w:r w:rsidRPr="005C045A">
              <w:rPr>
                <w:rFonts w:ascii="Times New Roman" w:eastAsia="Times New Roman" w:hAnsi="Times New Roman" w:cs="Times New Roman"/>
                <w:b/>
                <w:bCs/>
                <w:color w:val="000000"/>
                <w:sz w:val="28"/>
                <w:szCs w:val="28"/>
                <w:lang w:eastAsia="ru-RU"/>
              </w:rPr>
              <w:t xml:space="preserve"> по приведению площадок Центров "Точка роста" в соответствие с методическими рекомендациями </w:t>
            </w:r>
            <w:proofErr w:type="spellStart"/>
            <w:r w:rsidRPr="005C045A">
              <w:rPr>
                <w:rFonts w:ascii="Times New Roman" w:eastAsia="Times New Roman" w:hAnsi="Times New Roman" w:cs="Times New Roman"/>
                <w:b/>
                <w:bCs/>
                <w:color w:val="000000"/>
                <w:sz w:val="28"/>
                <w:szCs w:val="28"/>
                <w:lang w:eastAsia="ru-RU"/>
              </w:rPr>
              <w:t>Минпросвещения</w:t>
            </w:r>
            <w:proofErr w:type="spellEnd"/>
            <w:r w:rsidRPr="005C045A">
              <w:rPr>
                <w:rFonts w:ascii="Times New Roman" w:eastAsia="Times New Roman" w:hAnsi="Times New Roman" w:cs="Times New Roman"/>
                <w:b/>
                <w:bCs/>
                <w:color w:val="000000"/>
                <w:sz w:val="28"/>
                <w:szCs w:val="28"/>
                <w:lang w:eastAsia="ru-RU"/>
              </w:rPr>
              <w:t xml:space="preserve"> России</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Региональный координатор</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 xml:space="preserve">По форме, определяемой </w:t>
            </w:r>
            <w:proofErr w:type="spellStart"/>
            <w:r w:rsidRPr="005C045A">
              <w:rPr>
                <w:rFonts w:ascii="Times New Roman" w:eastAsia="Times New Roman" w:hAnsi="Times New Roman" w:cs="Times New Roman"/>
                <w:b/>
                <w:bCs/>
                <w:color w:val="000000"/>
                <w:sz w:val="28"/>
                <w:szCs w:val="28"/>
                <w:lang w:eastAsia="ru-RU"/>
              </w:rPr>
              <w:t>Минпросвещения</w:t>
            </w:r>
            <w:proofErr w:type="spellEnd"/>
            <w:r w:rsidRPr="005C045A">
              <w:rPr>
                <w:rFonts w:ascii="Times New Roman" w:eastAsia="Times New Roman" w:hAnsi="Times New Roman" w:cs="Times New Roman"/>
                <w:b/>
                <w:bCs/>
                <w:color w:val="000000"/>
                <w:sz w:val="28"/>
                <w:szCs w:val="28"/>
                <w:lang w:eastAsia="ru-RU"/>
              </w:rPr>
              <w:t xml:space="preserve"> России или федеральным оператором</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не позднее</w:t>
            </w:r>
          </w:p>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25 августа X года</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8.</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Сформирован единый комплексный план мероприятий по организационно-методической поддержке инфраструктуры национального проекта "Образование", в том числе Центров "Точка роста"</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Региональный координатор</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Распорядительный акт РОИВ</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не позднее</w:t>
            </w:r>
          </w:p>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25 августа X года</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9.</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Начало работы Центров "Точка роста"</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Региональный координатор</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Информационное освещение в СМИ, наличие заполненных разделов о Центрах "Точка роста" на сайтах образовательных организаций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не позднее</w:t>
            </w:r>
          </w:p>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15 сентября X года</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10.</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 xml:space="preserve">Ежеквартальный мониторинг выполнения показателей создания и </w:t>
            </w:r>
            <w:r w:rsidRPr="005C045A">
              <w:rPr>
                <w:rFonts w:ascii="Times New Roman" w:eastAsia="Times New Roman" w:hAnsi="Times New Roman" w:cs="Times New Roman"/>
                <w:b/>
                <w:bCs/>
                <w:color w:val="000000"/>
                <w:sz w:val="28"/>
                <w:szCs w:val="28"/>
                <w:lang w:eastAsia="ru-RU"/>
              </w:rPr>
              <w:lastRenderedPageBreak/>
              <w:t>функционирования центров "Точка роста"</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lastRenderedPageBreak/>
              <w:t>Региональный координатор</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 xml:space="preserve">Отчет о выполнении показателей </w:t>
            </w:r>
            <w:r w:rsidRPr="005C045A">
              <w:rPr>
                <w:rFonts w:ascii="Times New Roman" w:eastAsia="Times New Roman" w:hAnsi="Times New Roman" w:cs="Times New Roman"/>
                <w:b/>
                <w:bCs/>
                <w:color w:val="000000"/>
                <w:sz w:val="28"/>
                <w:szCs w:val="28"/>
                <w:lang w:eastAsia="ru-RU"/>
              </w:rPr>
              <w:lastRenderedPageBreak/>
              <w:t>федеральному оператору</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lastRenderedPageBreak/>
              <w:t>не позднее</w:t>
            </w:r>
          </w:p>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 xml:space="preserve">1 октября X года, далее - ежеквартально </w:t>
            </w:r>
            <w:r w:rsidRPr="005C045A">
              <w:rPr>
                <w:rFonts w:ascii="Times New Roman" w:eastAsia="Times New Roman" w:hAnsi="Times New Roman" w:cs="Times New Roman"/>
                <w:b/>
                <w:bCs/>
                <w:color w:val="000000"/>
                <w:sz w:val="28"/>
                <w:szCs w:val="28"/>
                <w:lang w:eastAsia="ru-RU"/>
              </w:rPr>
              <w:lastRenderedPageBreak/>
              <w:t>в сроки, установленные Федеральным оператором</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lastRenderedPageBreak/>
              <w:t>11.</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Информация о повышении квалификации педагогических работников, реализующих образовательные программы на базе Центра "Точка роста"</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Региональный координатор</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 xml:space="preserve">По форме, определяемой </w:t>
            </w:r>
            <w:proofErr w:type="spellStart"/>
            <w:r w:rsidRPr="005C045A">
              <w:rPr>
                <w:rFonts w:ascii="Times New Roman" w:eastAsia="Times New Roman" w:hAnsi="Times New Roman" w:cs="Times New Roman"/>
                <w:b/>
                <w:bCs/>
                <w:color w:val="000000"/>
                <w:sz w:val="28"/>
                <w:szCs w:val="28"/>
                <w:lang w:eastAsia="ru-RU"/>
              </w:rPr>
              <w:t>Минпросвещения</w:t>
            </w:r>
            <w:proofErr w:type="spellEnd"/>
            <w:r w:rsidRPr="005C045A">
              <w:rPr>
                <w:rFonts w:ascii="Times New Roman" w:eastAsia="Times New Roman" w:hAnsi="Times New Roman" w:cs="Times New Roman"/>
                <w:b/>
                <w:bCs/>
                <w:color w:val="000000"/>
                <w:sz w:val="28"/>
                <w:szCs w:val="28"/>
                <w:lang w:eastAsia="ru-RU"/>
              </w:rPr>
              <w:t xml:space="preserve"> России или федеральным оператором</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не позднее</w:t>
            </w:r>
          </w:p>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1 декабря X года</w:t>
            </w:r>
          </w:p>
        </w:tc>
      </w:tr>
    </w:tbl>
    <w:p w:rsidR="005C045A" w:rsidRPr="005C045A" w:rsidRDefault="005C045A" w:rsidP="005C045A">
      <w:pPr>
        <w:spacing w:after="0" w:line="240" w:lineRule="auto"/>
        <w:rPr>
          <w:rFonts w:ascii="Times New Roman" w:eastAsia="Times New Roman" w:hAnsi="Times New Roman" w:cs="Times New Roman"/>
          <w:sz w:val="28"/>
          <w:szCs w:val="28"/>
          <w:lang w:eastAsia="ru-RU"/>
        </w:rPr>
      </w:pPr>
    </w:p>
    <w:p w:rsidR="005C045A" w:rsidRPr="005C045A" w:rsidRDefault="005C045A" w:rsidP="005C045A">
      <w:pPr>
        <w:spacing w:after="0" w:line="240" w:lineRule="auto"/>
        <w:rPr>
          <w:rFonts w:ascii="Times New Roman" w:eastAsia="Times New Roman" w:hAnsi="Times New Roman" w:cs="Times New Roman"/>
          <w:sz w:val="28"/>
          <w:szCs w:val="28"/>
          <w:lang w:eastAsia="ru-RU"/>
        </w:rPr>
      </w:pPr>
      <w:r w:rsidRPr="005C045A">
        <w:rPr>
          <w:rFonts w:ascii="Times New Roman" w:eastAsia="Times New Roman" w:hAnsi="Times New Roman" w:cs="Times New Roman"/>
          <w:color w:val="000000"/>
          <w:sz w:val="28"/>
          <w:szCs w:val="28"/>
          <w:lang w:eastAsia="ru-RU"/>
        </w:rPr>
        <w:br/>
      </w:r>
    </w:p>
    <w:p w:rsidR="005C045A" w:rsidRPr="005C045A" w:rsidRDefault="005C045A" w:rsidP="005C045A">
      <w:pPr>
        <w:shd w:val="clear" w:color="auto" w:fill="FFFFFF"/>
        <w:spacing w:before="240" w:after="240" w:line="240" w:lineRule="auto"/>
        <w:jc w:val="right"/>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Приложение 2</w:t>
      </w:r>
    </w:p>
    <w:p w:rsidR="005C045A" w:rsidRPr="005C045A" w:rsidRDefault="005C045A" w:rsidP="005C045A">
      <w:pPr>
        <w:shd w:val="clear" w:color="auto" w:fill="FFFFFF"/>
        <w:spacing w:before="240" w:after="240" w:line="240" w:lineRule="auto"/>
        <w:jc w:val="right"/>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к Методическим рекомендациям</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МИНИМАЛЬНЫЕ ИНДИКАТОРЫ И ПОКАЗАТЕЛИ</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РЕАЛИЗАЦИИ МЕРОПРИЯТИЙ ПО СОЗДАНИЮ И ФУНКЦИОНИРОВАНИЮ</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В ОБЩЕОБРАЗОВАТЕЛЬНЫХ ОРГАНИЗАЦИЯХ, РАСПОЛОЖЕННЫХ В СЕЛЬСКОЙ</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МЕСТНОСТИ И МАЛЫХ ГОРОДАХ, ЦЕНТРОВ ОБРАЗОВАНИЯ</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ЕСТЕСТВЕННО-НАУЧНОЙ И ТЕХНОЛОГИЧЕСКОЙ</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НАПРАВЛЕННОСТЕЙ "ТОЧКА РОСТА"</w:t>
      </w:r>
    </w:p>
    <w:tbl>
      <w:tblPr>
        <w:tblW w:w="11020" w:type="dxa"/>
        <w:shd w:val="clear" w:color="auto" w:fill="FFFFFF"/>
        <w:tblCellMar>
          <w:left w:w="0" w:type="dxa"/>
          <w:right w:w="0" w:type="dxa"/>
        </w:tblCellMar>
        <w:tblLook w:val="04A0" w:firstRow="1" w:lastRow="0" w:firstColumn="1" w:lastColumn="0" w:noHBand="0" w:noVBand="1"/>
      </w:tblPr>
      <w:tblGrid>
        <w:gridCol w:w="283"/>
        <w:gridCol w:w="2883"/>
        <w:gridCol w:w="2928"/>
        <w:gridCol w:w="2928"/>
        <w:gridCol w:w="2978"/>
      </w:tblGrid>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N</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Наименование индикатора (показателя)</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Минимальное значение в год для общеобразовательных организаций, не являющихся малокомплектными</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Минимальное значение в год для малокомплектных общеобразовательных организаций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Методика расчета минимального показателя в целом по субъекту Российской Федерации, в год</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1</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Численность обучающихся общеобразовательной организации, осваивающих два и более учебных предмета из числа предметных областей "Естественно-научные предметы", "Естественные науки", "Математика и информатика", "Обществознание и естествознание", "Технология" и (или) курсы внеурочной деятельности </w:t>
            </w:r>
            <w:proofErr w:type="spellStart"/>
            <w:r w:rsidRPr="005C045A">
              <w:rPr>
                <w:rFonts w:ascii="Times New Roman" w:eastAsia="Times New Roman" w:hAnsi="Times New Roman" w:cs="Times New Roman"/>
                <w:color w:val="000000"/>
                <w:sz w:val="28"/>
                <w:szCs w:val="28"/>
                <w:lang w:eastAsia="ru-RU"/>
              </w:rPr>
              <w:t>общеинтеллектуальной</w:t>
            </w:r>
            <w:proofErr w:type="spellEnd"/>
            <w:r w:rsidRPr="005C045A">
              <w:rPr>
                <w:rFonts w:ascii="Times New Roman" w:eastAsia="Times New Roman" w:hAnsi="Times New Roman" w:cs="Times New Roman"/>
                <w:color w:val="000000"/>
                <w:sz w:val="28"/>
                <w:szCs w:val="28"/>
                <w:lang w:eastAsia="ru-RU"/>
              </w:rPr>
              <w:t xml:space="preserve"> направленности с использованием средств обучения и воспитания Центра "Точка роста" &lt;3&gt; (человек)</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300</w:t>
            </w:r>
          </w:p>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(в год открытия - 150)</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100</w:t>
            </w:r>
          </w:p>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(в год открытия - 50)</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Сумма значений показателя по всем общеобразовательным организациям, на базе которых создаются центры "Точка роста"</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2</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Численность обучающихся общеобразовательной организации,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Центра </w:t>
            </w:r>
            <w:r w:rsidRPr="005C045A">
              <w:rPr>
                <w:rFonts w:ascii="Times New Roman" w:eastAsia="Times New Roman" w:hAnsi="Times New Roman" w:cs="Times New Roman"/>
                <w:color w:val="000000"/>
                <w:sz w:val="28"/>
                <w:szCs w:val="28"/>
                <w:lang w:eastAsia="ru-RU"/>
              </w:rPr>
              <w:lastRenderedPageBreak/>
              <w:t>"Точка роста" &lt;4&gt; (человек)</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lastRenderedPageBreak/>
              <w:t>60</w:t>
            </w:r>
          </w:p>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(в год открытия - 30)</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30</w:t>
            </w:r>
          </w:p>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(в год открытия - 15)</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Сумма значений показателя по всем общеобразовательным организациям, на базе которых создаются центры "Точка роста"</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3</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Доля педагогических работников центра "Точка роста", прошедших обучение по программам из реестра программ повышения квалификации &lt;5&gt; (%)</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100</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100</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100</w:t>
            </w:r>
          </w:p>
        </w:tc>
      </w:tr>
    </w:tbl>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&lt;3&gt; Использование средств оборудования, обучения и воспитания возможно на всех уровнях общего образования и целесообразно для реализации урочной и внеурочной деятельности по программам естественно-научной и технологической направленностей. Расчет показателя предусматривает суммирование численности обучающихся общеобразовательной организации, каждый из которых задействован в освоении не менее двух предметов, курсов, дисциплин (модулей) естественно-научной и технологической направленностей в рамках реализации основных общеобразовательных программ. Учитываются учебные предметы из числа предметных областей "Математика и информатика", "Обществознание и естествознание", "Технология", "Естественно-научные предметы", "Естественные науки" и (или) курсы внеурочной деятельности, реализуемые с использованием средств обучения и воспитания Центров "Точка роста". В случае, если в общеобразовательной организации, общая численность обучающихся меньше указанного значения, значение показателя формируется на уровне не менее 60% от общей численности обучающихся;</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&lt;4&gt; В случае, если в общеобразовательной организации, общая численность обучающихся меньше значения, указанного в показателе 1, значение показателя должно составлять не менее 20% от общей численности обучающихся. Для малокомплектных общеобразовательных организаций допускается отсутствие лицензии на дополнительное образование и реализуемых программ дополнительного образования.</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&lt;5&gt; В соответствии с пунктом 2 части 5 статьи 47 Федерального закона от </w:t>
      </w:r>
      <w:hyperlink r:id="rId18" w:history="1">
        <w:r w:rsidRPr="005C045A">
          <w:rPr>
            <w:rFonts w:ascii="Times New Roman" w:eastAsia="Times New Roman" w:hAnsi="Times New Roman" w:cs="Times New Roman"/>
            <w:color w:val="154285"/>
            <w:sz w:val="28"/>
            <w:szCs w:val="28"/>
            <w:u w:val="single"/>
            <w:lang w:eastAsia="ru-RU"/>
          </w:rPr>
          <w:t>29.12.2012 N 273-ФЗ</w:t>
        </w:r>
      </w:hyperlink>
      <w:r w:rsidRPr="005C045A">
        <w:rPr>
          <w:rFonts w:ascii="Times New Roman" w:eastAsia="Times New Roman" w:hAnsi="Times New Roman" w:cs="Times New Roman"/>
          <w:color w:val="000000"/>
          <w:sz w:val="28"/>
          <w:szCs w:val="28"/>
          <w:lang w:eastAsia="ru-RU"/>
        </w:rPr>
        <w:t xml:space="preserve"> "Об образовании в Российской Федерации" повышение квалификации педагогических работников осуществляется не реже одного раза в три года. Повышение квалификации педагогического работника центра "Точка роста" засчитывается при наличии действующего (с </w:t>
      </w:r>
      <w:r w:rsidRPr="005C045A">
        <w:rPr>
          <w:rFonts w:ascii="Times New Roman" w:eastAsia="Times New Roman" w:hAnsi="Times New Roman" w:cs="Times New Roman"/>
          <w:color w:val="000000"/>
          <w:sz w:val="28"/>
          <w:szCs w:val="28"/>
          <w:lang w:eastAsia="ru-RU"/>
        </w:rPr>
        <w:lastRenderedPageBreak/>
        <w:t>даты прохождения прошло не более 3 лет) удостоверения о повышении квалификации по программам, соответствующим направленностям Центра "Точка роста", или прохождении обучения по программам федерального оператора. Также учитывается наличие у педагогических работников удостоверений о повышении квалификации по программам из Федерального реестра образовательных программ дополнительного профессионального образования.</w:t>
      </w:r>
    </w:p>
    <w:p w:rsidR="005C045A" w:rsidRPr="005C045A" w:rsidRDefault="005C045A" w:rsidP="005C045A">
      <w:pPr>
        <w:shd w:val="clear" w:color="auto" w:fill="FFFFFF"/>
        <w:spacing w:before="240" w:after="240" w:line="240" w:lineRule="auto"/>
        <w:jc w:val="right"/>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Приложение 3</w:t>
      </w:r>
    </w:p>
    <w:p w:rsidR="005C045A" w:rsidRPr="005C045A" w:rsidRDefault="005C045A" w:rsidP="005C045A">
      <w:pPr>
        <w:shd w:val="clear" w:color="auto" w:fill="FFFFFF"/>
        <w:spacing w:before="240" w:after="240" w:line="240" w:lineRule="auto"/>
        <w:jc w:val="right"/>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к Методическим рекомендациям</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Перечень</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общеобразовательных организаций, на базе которых планируется</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создание и функционирование Центров образования</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естественно-научной и технологической направленностей</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"Точка роста" в ____ году в рамках федерального проекта</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"Современная школа" национального проекта "Образование"</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в ________ (наименование субъекта Российской Федерации)</w:t>
      </w:r>
    </w:p>
    <w:tbl>
      <w:tblPr>
        <w:tblW w:w="11040" w:type="dxa"/>
        <w:shd w:val="clear" w:color="auto" w:fill="FFFFFF"/>
        <w:tblCellMar>
          <w:left w:w="0" w:type="dxa"/>
          <w:right w:w="0" w:type="dxa"/>
        </w:tblCellMar>
        <w:tblLook w:val="04A0" w:firstRow="1" w:lastRow="0" w:firstColumn="1" w:lastColumn="0" w:noHBand="0" w:noVBand="1"/>
      </w:tblPr>
      <w:tblGrid>
        <w:gridCol w:w="481"/>
        <w:gridCol w:w="2231"/>
        <w:gridCol w:w="2870"/>
        <w:gridCol w:w="2870"/>
        <w:gridCol w:w="1879"/>
        <w:gridCol w:w="1703"/>
        <w:gridCol w:w="1703"/>
        <w:gridCol w:w="1098"/>
        <w:gridCol w:w="2468"/>
      </w:tblGrid>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N п/п</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Наименование муниципального образования</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Наименование общеобразовательной организации, на базе которой планируется создание Центра "Точка роста"</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Юридический адрес общеобразовательной организации (по уставу)</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Фактический адрес планируемого размещения Центра "Точка роста"</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ИНН организации</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КПП организации</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Филиал (да/нет)</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Малокомплектная (да/нет, количество классов-комплектов)</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after="0" w:line="240" w:lineRule="auto"/>
              <w:rPr>
                <w:rFonts w:ascii="Times New Roman" w:eastAsia="Times New Roman" w:hAnsi="Times New Roman" w:cs="Times New Roman"/>
                <w:b/>
                <w:bCs/>
                <w:color w:val="000000"/>
                <w:sz w:val="28"/>
                <w:szCs w:val="28"/>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after="0" w:line="240" w:lineRule="auto"/>
              <w:rPr>
                <w:rFonts w:ascii="Times New Roman" w:eastAsia="Times New Roman" w:hAnsi="Times New Roman" w:cs="Times New Roman"/>
                <w:sz w:val="28"/>
                <w:szCs w:val="28"/>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after="0" w:line="240" w:lineRule="auto"/>
              <w:rPr>
                <w:rFonts w:ascii="Times New Roman" w:eastAsia="Times New Roman" w:hAnsi="Times New Roman" w:cs="Times New Roman"/>
                <w:sz w:val="28"/>
                <w:szCs w:val="28"/>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after="0" w:line="240" w:lineRule="auto"/>
              <w:rPr>
                <w:rFonts w:ascii="Times New Roman" w:eastAsia="Times New Roman" w:hAnsi="Times New Roman" w:cs="Times New Roman"/>
                <w:sz w:val="28"/>
                <w:szCs w:val="28"/>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after="0" w:line="240" w:lineRule="auto"/>
              <w:rPr>
                <w:rFonts w:ascii="Times New Roman" w:eastAsia="Times New Roman" w:hAnsi="Times New Roman" w:cs="Times New Roman"/>
                <w:sz w:val="28"/>
                <w:szCs w:val="28"/>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after="0" w:line="240" w:lineRule="auto"/>
              <w:rPr>
                <w:rFonts w:ascii="Times New Roman" w:eastAsia="Times New Roman" w:hAnsi="Times New Roman" w:cs="Times New Roman"/>
                <w:sz w:val="28"/>
                <w:szCs w:val="28"/>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after="0" w:line="240" w:lineRule="auto"/>
              <w:rPr>
                <w:rFonts w:ascii="Times New Roman" w:eastAsia="Times New Roman" w:hAnsi="Times New Roman" w:cs="Times New Roman"/>
                <w:sz w:val="28"/>
                <w:szCs w:val="28"/>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after="0" w:line="240" w:lineRule="auto"/>
              <w:rPr>
                <w:rFonts w:ascii="Times New Roman" w:eastAsia="Times New Roman" w:hAnsi="Times New Roman" w:cs="Times New Roman"/>
                <w:sz w:val="28"/>
                <w:szCs w:val="28"/>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after="0" w:line="240" w:lineRule="auto"/>
              <w:rPr>
                <w:rFonts w:ascii="Times New Roman" w:eastAsia="Times New Roman" w:hAnsi="Times New Roman" w:cs="Times New Roman"/>
                <w:sz w:val="28"/>
                <w:szCs w:val="28"/>
                <w:lang w:eastAsia="ru-RU"/>
              </w:rPr>
            </w:pPr>
          </w:p>
        </w:tc>
      </w:tr>
    </w:tbl>
    <w:p w:rsidR="005C045A" w:rsidRPr="005C045A" w:rsidRDefault="005C045A" w:rsidP="005C045A">
      <w:pPr>
        <w:shd w:val="clear" w:color="auto" w:fill="FFFFFF"/>
        <w:spacing w:before="240" w:after="240" w:line="240" w:lineRule="auto"/>
        <w:jc w:val="right"/>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Приложение 4</w:t>
      </w:r>
    </w:p>
    <w:p w:rsidR="005C045A" w:rsidRPr="005C045A" w:rsidRDefault="005C045A" w:rsidP="005C045A">
      <w:pPr>
        <w:shd w:val="clear" w:color="auto" w:fill="FFFFFF"/>
        <w:spacing w:before="240" w:after="240" w:line="240" w:lineRule="auto"/>
        <w:jc w:val="right"/>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к Методическим рекомендациям</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Типовое Положение</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о Центре образования естественно-научной и технологической</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направленностей "Точка роста" на базе &lt;наименование</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общеобразовательной организации&gt;</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1. Общие положения</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1.1. Центр образования естественно-научной и технологической направленностей "Точка роста" на базе &lt;наименование общеобразовательной организации&gt; (далее - Центр) создан с целью развития у обучающихся естественно-научной, математической, информационной грамотности, формирования критического и креативного мышления, совершенствования навыков естественно-научной и технологической направленностей.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1.2. Центр не является юридическим лицом и действует для достижения уставных целей &lt;наименование общеобразовательной организации&gt; (далее - Учреждение), а также в целях выполнения задач и достижения показателей и результатов национального проекта "Образование".</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1.3. В своей деятельности Центр руководствуется Федеральным законом Российской Федерации от </w:t>
      </w:r>
      <w:hyperlink r:id="rId19" w:history="1">
        <w:r w:rsidRPr="005C045A">
          <w:rPr>
            <w:rFonts w:ascii="Times New Roman" w:eastAsia="Times New Roman" w:hAnsi="Times New Roman" w:cs="Times New Roman"/>
            <w:color w:val="154285"/>
            <w:sz w:val="28"/>
            <w:szCs w:val="28"/>
            <w:u w:val="single"/>
            <w:lang w:eastAsia="ru-RU"/>
          </w:rPr>
          <w:t>29.12.2012 N 273-ФЗ</w:t>
        </w:r>
      </w:hyperlink>
      <w:r w:rsidRPr="005C045A">
        <w:rPr>
          <w:rFonts w:ascii="Times New Roman" w:eastAsia="Times New Roman" w:hAnsi="Times New Roman" w:cs="Times New Roman"/>
          <w:color w:val="000000"/>
          <w:sz w:val="28"/>
          <w:szCs w:val="28"/>
          <w:lang w:eastAsia="ru-RU"/>
        </w:rPr>
        <w:t> "Об образовании в Российской Федерации", другими нормативными документами Министерства просвещения Российской Федерации, иными нормативными правовыми актами Российской Федерации, программой развития &lt;наименование общеобразовательной организации&gt;, планами работы, утвержденными Учреждением и настоящим Положением.</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1.4. Центр в своей деятельности подчиняется руководителю Учреждения (директору).</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2. Цели, задачи, функции деятельности Центра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2.1. Основной целью деятельности Центра является совершенствование условий для повышения качества образования, расширения возможностей обучающихся в освоении учебных предметов естественно-научной и технологической направленностей, программ дополнительного образования естественно-научной и технической направленностей, а также для практической отработки учебного материала по учебным предметам "Физика", "Химия", "Биология".</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2.2. Задачами Центра являются:</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2.2.1. реализация основных общеобразовательных программ по учебным предметам естественно-научной и технологической направленностей, в том числе в рамках внеурочной деятельности обучающихся;</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2.2.2. разработка и реализация </w:t>
      </w:r>
      <w:proofErr w:type="spellStart"/>
      <w:r w:rsidRPr="005C045A">
        <w:rPr>
          <w:rFonts w:ascii="Times New Roman" w:eastAsia="Times New Roman" w:hAnsi="Times New Roman" w:cs="Times New Roman"/>
          <w:color w:val="000000"/>
          <w:sz w:val="28"/>
          <w:szCs w:val="28"/>
          <w:lang w:eastAsia="ru-RU"/>
        </w:rPr>
        <w:t>разноуровневых</w:t>
      </w:r>
      <w:proofErr w:type="spellEnd"/>
      <w:r w:rsidRPr="005C045A">
        <w:rPr>
          <w:rFonts w:ascii="Times New Roman" w:eastAsia="Times New Roman" w:hAnsi="Times New Roman" w:cs="Times New Roman"/>
          <w:color w:val="000000"/>
          <w:sz w:val="28"/>
          <w:szCs w:val="28"/>
          <w:lang w:eastAsia="ru-RU"/>
        </w:rPr>
        <w:t xml:space="preserve"> дополнительных общеобразовательных программ естественно-научной и технической направленностей, а также иных программ, в том числе в каникулярный период;</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2.2.3. вовлечение обучающихся и педагогических работников в проектную деятельность;</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2.2.4. организация </w:t>
      </w:r>
      <w:proofErr w:type="spellStart"/>
      <w:r w:rsidRPr="005C045A">
        <w:rPr>
          <w:rFonts w:ascii="Times New Roman" w:eastAsia="Times New Roman" w:hAnsi="Times New Roman" w:cs="Times New Roman"/>
          <w:color w:val="000000"/>
          <w:sz w:val="28"/>
          <w:szCs w:val="28"/>
          <w:lang w:eastAsia="ru-RU"/>
        </w:rPr>
        <w:t>внеучебной</w:t>
      </w:r>
      <w:proofErr w:type="spellEnd"/>
      <w:r w:rsidRPr="005C045A">
        <w:rPr>
          <w:rFonts w:ascii="Times New Roman" w:eastAsia="Times New Roman" w:hAnsi="Times New Roman" w:cs="Times New Roman"/>
          <w:color w:val="000000"/>
          <w:sz w:val="28"/>
          <w:szCs w:val="28"/>
          <w:lang w:eastAsia="ru-RU"/>
        </w:rPr>
        <w:t xml:space="preserve"> деятельности в каникулярный период, разработка и реализация соответствующих образовательных программ, в том числе для лагерей, организованных образовательными организациями в каникулярный период;</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2.2.5. повышение профессионального мастерства педагогических работников Центра, реализующих основные и дополнительные общеобразовательные программы.</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2.3. Центр для достижения цели и выполнения задач вправе взаимодействовать с:</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различными образовательными организациями в форме сетевого взаимодействия;</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с иными образовательными организациями, на базе которых созданы центры "Точка роста";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с федеральным оператором, осуществляющим функции по информационному, методическому и организационно-техническому сопровождению мероприятий по созданию и функционированию центров "Точка роста", в том числе по вопросам повышения квалификации педагогических работников;</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обучающимися и родителями (законными представителями) обучающихся, в том числе с применением дистанционных образовательных технологий.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3. Порядок управления Центром "Точка роста"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3.1. Руководитель Учреждения издает локальный нормативный акт о назначении руководителя Центра (куратора, ответственного за функционирование и развитие), а также о создании Центра и утверждении Положения о деятельности Центра.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3.2. Руководителем Центра может быть назначен сотрудник Учреждения из числа руководящих и педагогических работников.</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3.3. Руководитель Центра обязан:</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3.3.1. осуществлять оперативное руководство Центром;</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3.3.2. представлять интересы Центра по доверенности в муниципальных, государственных органах региона, организациях для реализации целей и задач Центра;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3.3.3. отчитываться перед Руководителем Учреждения о результатах работы Центра;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3.3.4. выполнять иные обязанности, предусмотренные законодательством, уставом Учреждения, должностной инструкцией и настоящим Положением.</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3.4. Руководитель Центра вправе:</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3.4.1. осуществлять расстановку кадров Центра, прием на работу которых осуществляется приказом руководителя Учреждения;</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3.4.2. по согласованию с руководителем Учреждения организовывать </w:t>
      </w:r>
      <w:proofErr w:type="spellStart"/>
      <w:r w:rsidRPr="005C045A">
        <w:rPr>
          <w:rFonts w:ascii="Times New Roman" w:eastAsia="Times New Roman" w:hAnsi="Times New Roman" w:cs="Times New Roman"/>
          <w:color w:val="000000"/>
          <w:sz w:val="28"/>
          <w:szCs w:val="28"/>
          <w:lang w:eastAsia="ru-RU"/>
        </w:rPr>
        <w:t>учебновоспитательный</w:t>
      </w:r>
      <w:proofErr w:type="spellEnd"/>
      <w:r w:rsidRPr="005C045A">
        <w:rPr>
          <w:rFonts w:ascii="Times New Roman" w:eastAsia="Times New Roman" w:hAnsi="Times New Roman" w:cs="Times New Roman"/>
          <w:color w:val="000000"/>
          <w:sz w:val="28"/>
          <w:szCs w:val="28"/>
          <w:lang w:eastAsia="ru-RU"/>
        </w:rPr>
        <w:t xml:space="preserve"> процесс в Центре в соответствии с целями и задачами Центра и осуществлять контроль за его реализацией;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3.4.3. осуществлять подготовку обучающихся к участию в конкурсах, олимпиадах, конференциях и иных мероприятиях по профилю направлений деятельности Центра;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3.4.4. по согласованию с руководителем Учреждения осуществлять организацию и проведение мероприятий по профилю направлений деятельности Центра;</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3.4.5. осуществлять иные права, относящиеся к деятельности Центра и не противоречащие целям и видам деятельности образовательной организации, а также законодательству Российской Федерации.</w:t>
      </w:r>
    </w:p>
    <w:p w:rsidR="005C045A" w:rsidRPr="005C045A" w:rsidRDefault="005C045A" w:rsidP="005C045A">
      <w:pPr>
        <w:shd w:val="clear" w:color="auto" w:fill="FFFFFF"/>
        <w:spacing w:before="240" w:after="240" w:line="240" w:lineRule="auto"/>
        <w:jc w:val="right"/>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Приложение 5</w:t>
      </w:r>
    </w:p>
    <w:p w:rsidR="005C045A" w:rsidRPr="005C045A" w:rsidRDefault="005C045A" w:rsidP="005C045A">
      <w:pPr>
        <w:shd w:val="clear" w:color="auto" w:fill="FFFFFF"/>
        <w:spacing w:before="240" w:after="240" w:line="240" w:lineRule="auto"/>
        <w:jc w:val="right"/>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к Методическим рекомендациям</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ПРИМЕРНЫЙ ПЕРЕЧЕНЬ</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ОБОРУДОВАНИЯ, РАСХОДНЫХ МАТЕРИАЛОВ, СРЕДСТВ ОБУЧЕНИЯ</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И ВОСПИТАНИЯ ДЛЯ ЦЕНТРОВ ОБРАЗОВАНИЯ ЕСТЕСТВЕННО-НАУЧНОЙ</w:t>
      </w:r>
    </w:p>
    <w:p w:rsidR="005C045A" w:rsidRPr="005C045A" w:rsidRDefault="005C045A" w:rsidP="005C045A">
      <w:pPr>
        <w:shd w:val="clear" w:color="auto" w:fill="FFFFFF"/>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И ТЕХНОЛОГИЧЕСКОЙ НАПРАВЛЕННОСТЕЙ "ТОЧКА РОСТА" &lt;6&gt;</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&lt;6&gt; Данный примерный перечень оборудования сформирован в качестве концепции создания унифицированной инфраструктуры центров образования "Точка роста" и не является описанием объекта закупки, частью извещения об осуществлении закупки, приглашения и документации о закупке. Используемые в данном разделе краткие примерные технические </w:t>
      </w:r>
      <w:r w:rsidRPr="005C045A">
        <w:rPr>
          <w:rFonts w:ascii="Times New Roman" w:eastAsia="Times New Roman" w:hAnsi="Times New Roman" w:cs="Times New Roman"/>
          <w:color w:val="000000"/>
          <w:sz w:val="28"/>
          <w:szCs w:val="28"/>
          <w:lang w:eastAsia="ru-RU"/>
        </w:rPr>
        <w:lastRenderedPageBreak/>
        <w:t>характеристики указаны с учетом положений каталога товаров, работ и услуг для обеспечения государственных и муниципальных нужд и уточняются, корректируются заказчиками при формировании документов в соответствии с фактической потребностью и требованиями действующего законодательства Российской Федерации, в том числе действующих положений и правил использования каталога товаров, работ и услуг для обеспечения государственных и муниципальных нужд.</w:t>
      </w:r>
    </w:p>
    <w:tbl>
      <w:tblPr>
        <w:tblW w:w="12300" w:type="dxa"/>
        <w:shd w:val="clear" w:color="auto" w:fill="FFFFFF"/>
        <w:tblCellMar>
          <w:left w:w="0" w:type="dxa"/>
          <w:right w:w="0" w:type="dxa"/>
        </w:tblCellMar>
        <w:tblLook w:val="04A0" w:firstRow="1" w:lastRow="0" w:firstColumn="1" w:lastColumn="0" w:noHBand="0" w:noVBand="1"/>
      </w:tblPr>
      <w:tblGrid>
        <w:gridCol w:w="430"/>
        <w:gridCol w:w="2938"/>
        <w:gridCol w:w="2909"/>
        <w:gridCol w:w="3064"/>
        <w:gridCol w:w="2959"/>
      </w:tblGrid>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N</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Наименование оборудования</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Краткие примерные характеристики</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Количество единиц (общеобразовательные организации, не являющиеся малокомплектными), ед. изм. &lt;7&gt;</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Количество единиц (малокомплектные общеобразовательные организации), ед. изм. &lt;8&gt;</w:t>
            </w:r>
          </w:p>
        </w:tc>
      </w:tr>
      <w:tr w:rsidR="005C045A" w:rsidRPr="005C045A" w:rsidTr="005C045A">
        <w:tc>
          <w:tcPr>
            <w:tcW w:w="0" w:type="auto"/>
            <w:gridSpan w:val="5"/>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Естественно-научная направленность</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1.</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Цифровая лаборатория по биологии (ученическая)</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Приведенный примерный перечень характеристик разработан на основе КТРУ для кодов ОКПД2 26.20.40.190, 32.99.53.130, 26.51.52.130, 26.51.43.119.</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Предметная область: Биология</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Тип пользователя: Обучающийся</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Предполагаемые типы датчиков:</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Беспроводной </w:t>
            </w:r>
            <w:proofErr w:type="spellStart"/>
            <w:r w:rsidRPr="005C045A">
              <w:rPr>
                <w:rFonts w:ascii="Times New Roman" w:eastAsia="Times New Roman" w:hAnsi="Times New Roman" w:cs="Times New Roman"/>
                <w:color w:val="000000"/>
                <w:sz w:val="28"/>
                <w:szCs w:val="28"/>
                <w:lang w:eastAsia="ru-RU"/>
              </w:rPr>
              <w:t>мультидатчик</w:t>
            </w:r>
            <w:proofErr w:type="spellEnd"/>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относительной влажности</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Датчик освещенности</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Датчик уровня </w:t>
            </w:r>
            <w:proofErr w:type="spellStart"/>
            <w:r w:rsidRPr="005C045A">
              <w:rPr>
                <w:rFonts w:ascii="Times New Roman" w:eastAsia="Times New Roman" w:hAnsi="Times New Roman" w:cs="Times New Roman"/>
                <w:color w:val="000000"/>
                <w:sz w:val="28"/>
                <w:szCs w:val="28"/>
                <w:lang w:eastAsia="ru-RU"/>
              </w:rPr>
              <w:t>pH</w:t>
            </w:r>
            <w:proofErr w:type="spellEnd"/>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температуры исследуемой среды</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температуры окружающей среды</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Иные типы датчиков, предусмотренные КТРУ</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Дополнительные материалы в комплекте: Зарядное устройство с кабелем </w:t>
            </w:r>
            <w:proofErr w:type="spellStart"/>
            <w:r w:rsidRPr="005C045A">
              <w:rPr>
                <w:rFonts w:ascii="Times New Roman" w:eastAsia="Times New Roman" w:hAnsi="Times New Roman" w:cs="Times New Roman"/>
                <w:color w:val="000000"/>
                <w:sz w:val="28"/>
                <w:szCs w:val="28"/>
                <w:lang w:eastAsia="ru-RU"/>
              </w:rPr>
              <w:t>mini</w:t>
            </w:r>
            <w:proofErr w:type="spellEnd"/>
            <w:r w:rsidRPr="005C045A">
              <w:rPr>
                <w:rFonts w:ascii="Times New Roman" w:eastAsia="Times New Roman" w:hAnsi="Times New Roman" w:cs="Times New Roman"/>
                <w:color w:val="000000"/>
                <w:sz w:val="28"/>
                <w:szCs w:val="28"/>
                <w:lang w:eastAsia="ru-RU"/>
              </w:rPr>
              <w:t>-USB</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Дополнительные материалы в комплекте: USB Адаптер </w:t>
            </w:r>
            <w:proofErr w:type="spellStart"/>
            <w:r w:rsidRPr="005C045A">
              <w:rPr>
                <w:rFonts w:ascii="Times New Roman" w:eastAsia="Times New Roman" w:hAnsi="Times New Roman" w:cs="Times New Roman"/>
                <w:color w:val="000000"/>
                <w:sz w:val="28"/>
                <w:szCs w:val="28"/>
                <w:lang w:eastAsia="ru-RU"/>
              </w:rPr>
              <w:t>Bluetooth</w:t>
            </w:r>
            <w:proofErr w:type="spellEnd"/>
            <w:r w:rsidRPr="005C045A">
              <w:rPr>
                <w:rFonts w:ascii="Times New Roman" w:eastAsia="Times New Roman" w:hAnsi="Times New Roman" w:cs="Times New Roman"/>
                <w:color w:val="000000"/>
                <w:sz w:val="28"/>
                <w:szCs w:val="28"/>
                <w:lang w:eastAsia="ru-RU"/>
              </w:rPr>
              <w:t xml:space="preserve"> 4.1 </w:t>
            </w:r>
            <w:proofErr w:type="spellStart"/>
            <w:r w:rsidRPr="005C045A">
              <w:rPr>
                <w:rFonts w:ascii="Times New Roman" w:eastAsia="Times New Roman" w:hAnsi="Times New Roman" w:cs="Times New Roman"/>
                <w:color w:val="000000"/>
                <w:sz w:val="28"/>
                <w:szCs w:val="28"/>
                <w:lang w:eastAsia="ru-RU"/>
              </w:rPr>
              <w:t>Low</w:t>
            </w:r>
            <w:proofErr w:type="spellEnd"/>
            <w:r w:rsidRPr="005C045A">
              <w:rPr>
                <w:rFonts w:ascii="Times New Roman" w:eastAsia="Times New Roman" w:hAnsi="Times New Roman" w:cs="Times New Roman"/>
                <w:color w:val="000000"/>
                <w:sz w:val="28"/>
                <w:szCs w:val="28"/>
                <w:lang w:eastAsia="ru-RU"/>
              </w:rPr>
              <w:t xml:space="preserve"> </w:t>
            </w:r>
            <w:proofErr w:type="spellStart"/>
            <w:r w:rsidRPr="005C045A">
              <w:rPr>
                <w:rFonts w:ascii="Times New Roman" w:eastAsia="Times New Roman" w:hAnsi="Times New Roman" w:cs="Times New Roman"/>
                <w:color w:val="000000"/>
                <w:sz w:val="28"/>
                <w:szCs w:val="28"/>
                <w:lang w:eastAsia="ru-RU"/>
              </w:rPr>
              <w:t>Energy</w:t>
            </w:r>
            <w:proofErr w:type="spellEnd"/>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Руководство по эксплуатации</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Программное обеспечение</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Справочно-методические материалы</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Дополнительные материалы в комплекте: Упаковка</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Видеоролики</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Наличие русскоязычного сайта поддержки: да</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 подготовке документации также предлагается рассмотреть необязательные характеристики, установленные в КТРУ, например, соответствующие диапазоны датчиков.</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w:lastRenderedPageBreak/>
              <mc:AlternateContent>
                <mc:Choice Requires="wps">
                  <w:drawing>
                    <wp:inline distT="0" distB="0" distL="0" distR="0" wp14:anchorId="33178879" wp14:editId="1CC2B0ED">
                      <wp:extent cx="123825" cy="123825"/>
                      <wp:effectExtent l="0" t="0" r="0" b="0"/>
                      <wp:docPr id="38" name="AutoShape 1" descr="https://fzakon.ru/images/463833_00000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2894D4" id="AutoShape 1" o:spid="_x0000_s1026" alt="https://fzakon.ru/images/463833_00000001.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dsF1QIAAO0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3 шт.</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28DB46E0" wp14:editId="5A8D0823">
                      <wp:extent cx="123825" cy="123825"/>
                      <wp:effectExtent l="0" t="0" r="0" b="0"/>
                      <wp:docPr id="37" name="AutoShape 2" descr="https://fzakon.ru/images/463833_0000000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6B2B2C" id="AutoShape 2" o:spid="_x0000_s1026" alt="https://fzakon.ru/images/463833_00000002.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J01QIAAO0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2 шт.</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lastRenderedPageBreak/>
              <w:t>2.</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Цифровая лаборатория по химии (ученическая)</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Приведенный примерный перечень характеристик разработан на основе КТРУ для кодов ОКПД2 26.20.40.190, 32.99.53.130, 26.51.52.130, 26.51.43.119.</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Предметная область: Химия</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Тип пользователя: Обучающийся</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Предполагаемые типы датчиков:</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 xml:space="preserve">Беспроводной </w:t>
            </w:r>
            <w:proofErr w:type="spellStart"/>
            <w:r w:rsidRPr="005C045A">
              <w:rPr>
                <w:rFonts w:ascii="Times New Roman" w:eastAsia="Times New Roman" w:hAnsi="Times New Roman" w:cs="Times New Roman"/>
                <w:color w:val="000000"/>
                <w:sz w:val="28"/>
                <w:szCs w:val="28"/>
                <w:lang w:eastAsia="ru-RU"/>
              </w:rPr>
              <w:t>мультидатчик</w:t>
            </w:r>
            <w:proofErr w:type="spellEnd"/>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Датчик уровня </w:t>
            </w:r>
            <w:proofErr w:type="spellStart"/>
            <w:r w:rsidRPr="005C045A">
              <w:rPr>
                <w:rFonts w:ascii="Times New Roman" w:eastAsia="Times New Roman" w:hAnsi="Times New Roman" w:cs="Times New Roman"/>
                <w:color w:val="000000"/>
                <w:sz w:val="28"/>
                <w:szCs w:val="28"/>
                <w:lang w:eastAsia="ru-RU"/>
              </w:rPr>
              <w:t>pH</w:t>
            </w:r>
            <w:proofErr w:type="spellEnd"/>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электрической проводимости</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температуры исследуемой среды</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Иные типы датчиков, предусмотренные КТРУ</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Кабель USB соединительный</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Дополнительные материалы в комплекте: Зарядное устройство с кабелем </w:t>
            </w:r>
            <w:proofErr w:type="spellStart"/>
            <w:r w:rsidRPr="005C045A">
              <w:rPr>
                <w:rFonts w:ascii="Times New Roman" w:eastAsia="Times New Roman" w:hAnsi="Times New Roman" w:cs="Times New Roman"/>
                <w:color w:val="000000"/>
                <w:sz w:val="28"/>
                <w:szCs w:val="28"/>
                <w:lang w:eastAsia="ru-RU"/>
              </w:rPr>
              <w:t>mini</w:t>
            </w:r>
            <w:proofErr w:type="spellEnd"/>
            <w:r w:rsidRPr="005C045A">
              <w:rPr>
                <w:rFonts w:ascii="Times New Roman" w:eastAsia="Times New Roman" w:hAnsi="Times New Roman" w:cs="Times New Roman"/>
                <w:color w:val="000000"/>
                <w:sz w:val="28"/>
                <w:szCs w:val="28"/>
                <w:lang w:eastAsia="ru-RU"/>
              </w:rPr>
              <w:t>-USB</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Дополнительные материалы в комплекте: USB Адаптер </w:t>
            </w:r>
            <w:proofErr w:type="spellStart"/>
            <w:r w:rsidRPr="005C045A">
              <w:rPr>
                <w:rFonts w:ascii="Times New Roman" w:eastAsia="Times New Roman" w:hAnsi="Times New Roman" w:cs="Times New Roman"/>
                <w:color w:val="000000"/>
                <w:sz w:val="28"/>
                <w:szCs w:val="28"/>
                <w:lang w:eastAsia="ru-RU"/>
              </w:rPr>
              <w:t>Bluetooth</w:t>
            </w:r>
            <w:proofErr w:type="spellEnd"/>
            <w:r w:rsidRPr="005C045A">
              <w:rPr>
                <w:rFonts w:ascii="Times New Roman" w:eastAsia="Times New Roman" w:hAnsi="Times New Roman" w:cs="Times New Roman"/>
                <w:color w:val="000000"/>
                <w:sz w:val="28"/>
                <w:szCs w:val="28"/>
                <w:lang w:eastAsia="ru-RU"/>
              </w:rPr>
              <w:t xml:space="preserve"> 4.1 </w:t>
            </w:r>
            <w:proofErr w:type="spellStart"/>
            <w:r w:rsidRPr="005C045A">
              <w:rPr>
                <w:rFonts w:ascii="Times New Roman" w:eastAsia="Times New Roman" w:hAnsi="Times New Roman" w:cs="Times New Roman"/>
                <w:color w:val="000000"/>
                <w:sz w:val="28"/>
                <w:szCs w:val="28"/>
                <w:lang w:eastAsia="ru-RU"/>
              </w:rPr>
              <w:t>Low</w:t>
            </w:r>
            <w:proofErr w:type="spellEnd"/>
            <w:r w:rsidRPr="005C045A">
              <w:rPr>
                <w:rFonts w:ascii="Times New Roman" w:eastAsia="Times New Roman" w:hAnsi="Times New Roman" w:cs="Times New Roman"/>
                <w:color w:val="000000"/>
                <w:sz w:val="28"/>
                <w:szCs w:val="28"/>
                <w:lang w:eastAsia="ru-RU"/>
              </w:rPr>
              <w:t xml:space="preserve"> </w:t>
            </w:r>
            <w:proofErr w:type="spellStart"/>
            <w:r w:rsidRPr="005C045A">
              <w:rPr>
                <w:rFonts w:ascii="Times New Roman" w:eastAsia="Times New Roman" w:hAnsi="Times New Roman" w:cs="Times New Roman"/>
                <w:color w:val="000000"/>
                <w:sz w:val="28"/>
                <w:szCs w:val="28"/>
                <w:lang w:eastAsia="ru-RU"/>
              </w:rPr>
              <w:t>Energy</w:t>
            </w:r>
            <w:proofErr w:type="spellEnd"/>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Руководство по эксплуатации</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Набор лабораторной оснастки</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Дополнительные материалы в комплекте: </w:t>
            </w:r>
            <w:r w:rsidRPr="005C045A">
              <w:rPr>
                <w:rFonts w:ascii="Times New Roman" w:eastAsia="Times New Roman" w:hAnsi="Times New Roman" w:cs="Times New Roman"/>
                <w:color w:val="000000"/>
                <w:sz w:val="28"/>
                <w:szCs w:val="28"/>
                <w:lang w:eastAsia="ru-RU"/>
              </w:rPr>
              <w:lastRenderedPageBreak/>
              <w:t>Программное обеспечение</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Справочно-методические материалы</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Наличие русскоязычного сайта поддержки: да</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Видеоролики</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 подготовке документации также предлагается рассмотреть необязательные характеристики, установленные в КТРУ, например, соответствующие диапазоны датчиков</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w:lastRenderedPageBreak/>
              <mc:AlternateContent>
                <mc:Choice Requires="wps">
                  <w:drawing>
                    <wp:inline distT="0" distB="0" distL="0" distR="0" wp14:anchorId="7F3ACCB3" wp14:editId="6EA3DAAA">
                      <wp:extent cx="123825" cy="123825"/>
                      <wp:effectExtent l="0" t="0" r="0" b="0"/>
                      <wp:docPr id="36" name="AutoShape 3" descr="https://fzakon.ru/images/463833_00000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C4F059" id="AutoShape 3" o:spid="_x0000_s1026" alt="https://fzakon.ru/images/463833_00000003.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3 шт.</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0DCBDA41" wp14:editId="4A589F87">
                      <wp:extent cx="123825" cy="123825"/>
                      <wp:effectExtent l="0" t="0" r="0" b="0"/>
                      <wp:docPr id="35" name="AutoShape 4" descr="https://fzakon.ru/images/463833_0000000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A7D7B6" id="AutoShape 4" o:spid="_x0000_s1026" alt="https://fzakon.ru/images/463833_00000004.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2 шт.</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lastRenderedPageBreak/>
              <w:t>3.</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Цифровая лаборатория по физике (ученическая)</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Приведенный примерный перечень характеристик разработан на основе КТРУ для кодов ОКПД2 26.20.40.190, 32.99.53.130, 26.51.52.130, 26.51.43.119.</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Предметная область: Физика</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Тип пользователя: Обучающийся</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Предполагаемые типы датчиков:</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Беспроводной </w:t>
            </w:r>
            <w:proofErr w:type="spellStart"/>
            <w:r w:rsidRPr="005C045A">
              <w:rPr>
                <w:rFonts w:ascii="Times New Roman" w:eastAsia="Times New Roman" w:hAnsi="Times New Roman" w:cs="Times New Roman"/>
                <w:color w:val="000000"/>
                <w:sz w:val="28"/>
                <w:szCs w:val="28"/>
                <w:lang w:eastAsia="ru-RU"/>
              </w:rPr>
              <w:t>мультидатчик</w:t>
            </w:r>
            <w:proofErr w:type="spellEnd"/>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абсолютного давления</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температуры исследуемой среды</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магнитного поля</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электрического напряжения</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силы тока</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акселерометр</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Иные типы датчиков, предусмотренные КТРУ</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USB осциллограф</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Кабель USB соединительный</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Дополнительные материалы в комплекте: Зарядное устройство с кабелем </w:t>
            </w:r>
            <w:proofErr w:type="spellStart"/>
            <w:r w:rsidRPr="005C045A">
              <w:rPr>
                <w:rFonts w:ascii="Times New Roman" w:eastAsia="Times New Roman" w:hAnsi="Times New Roman" w:cs="Times New Roman"/>
                <w:color w:val="000000"/>
                <w:sz w:val="28"/>
                <w:szCs w:val="28"/>
                <w:lang w:eastAsia="ru-RU"/>
              </w:rPr>
              <w:t>mini</w:t>
            </w:r>
            <w:proofErr w:type="spellEnd"/>
            <w:r w:rsidRPr="005C045A">
              <w:rPr>
                <w:rFonts w:ascii="Times New Roman" w:eastAsia="Times New Roman" w:hAnsi="Times New Roman" w:cs="Times New Roman"/>
                <w:color w:val="000000"/>
                <w:sz w:val="28"/>
                <w:szCs w:val="28"/>
                <w:lang w:eastAsia="ru-RU"/>
              </w:rPr>
              <w:t>-USB</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Дополнительные материалы в комплекте: USB </w:t>
            </w:r>
            <w:r w:rsidRPr="005C045A">
              <w:rPr>
                <w:rFonts w:ascii="Times New Roman" w:eastAsia="Times New Roman" w:hAnsi="Times New Roman" w:cs="Times New Roman"/>
                <w:color w:val="000000"/>
                <w:sz w:val="28"/>
                <w:szCs w:val="28"/>
                <w:lang w:eastAsia="ru-RU"/>
              </w:rPr>
              <w:lastRenderedPageBreak/>
              <w:t xml:space="preserve">Адаптер </w:t>
            </w:r>
            <w:proofErr w:type="spellStart"/>
            <w:r w:rsidRPr="005C045A">
              <w:rPr>
                <w:rFonts w:ascii="Times New Roman" w:eastAsia="Times New Roman" w:hAnsi="Times New Roman" w:cs="Times New Roman"/>
                <w:color w:val="000000"/>
                <w:sz w:val="28"/>
                <w:szCs w:val="28"/>
                <w:lang w:eastAsia="ru-RU"/>
              </w:rPr>
              <w:t>Bluetooth</w:t>
            </w:r>
            <w:proofErr w:type="spellEnd"/>
            <w:r w:rsidRPr="005C045A">
              <w:rPr>
                <w:rFonts w:ascii="Times New Roman" w:eastAsia="Times New Roman" w:hAnsi="Times New Roman" w:cs="Times New Roman"/>
                <w:color w:val="000000"/>
                <w:sz w:val="28"/>
                <w:szCs w:val="28"/>
                <w:lang w:eastAsia="ru-RU"/>
              </w:rPr>
              <w:t xml:space="preserve"> 4.1 </w:t>
            </w:r>
            <w:proofErr w:type="spellStart"/>
            <w:r w:rsidRPr="005C045A">
              <w:rPr>
                <w:rFonts w:ascii="Times New Roman" w:eastAsia="Times New Roman" w:hAnsi="Times New Roman" w:cs="Times New Roman"/>
                <w:color w:val="000000"/>
                <w:sz w:val="28"/>
                <w:szCs w:val="28"/>
                <w:lang w:eastAsia="ru-RU"/>
              </w:rPr>
              <w:t>Low</w:t>
            </w:r>
            <w:proofErr w:type="spellEnd"/>
            <w:r w:rsidRPr="005C045A">
              <w:rPr>
                <w:rFonts w:ascii="Times New Roman" w:eastAsia="Times New Roman" w:hAnsi="Times New Roman" w:cs="Times New Roman"/>
                <w:color w:val="000000"/>
                <w:sz w:val="28"/>
                <w:szCs w:val="28"/>
                <w:lang w:eastAsia="ru-RU"/>
              </w:rPr>
              <w:t xml:space="preserve"> </w:t>
            </w:r>
            <w:proofErr w:type="spellStart"/>
            <w:r w:rsidRPr="005C045A">
              <w:rPr>
                <w:rFonts w:ascii="Times New Roman" w:eastAsia="Times New Roman" w:hAnsi="Times New Roman" w:cs="Times New Roman"/>
                <w:color w:val="000000"/>
                <w:sz w:val="28"/>
                <w:szCs w:val="28"/>
                <w:lang w:eastAsia="ru-RU"/>
              </w:rPr>
              <w:t>Energy</w:t>
            </w:r>
            <w:proofErr w:type="spellEnd"/>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Конструктор для проведения экспериментов</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Руководство по эксплуатации</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Программное обеспечение</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Справочно-методические материалы</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Наличие русскоязычного сайта поддержки: да</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Видеоролики</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При подготовке документации также предлагается рассмотреть необязательные характеристики, </w:t>
            </w:r>
            <w:r w:rsidRPr="005C045A">
              <w:rPr>
                <w:rFonts w:ascii="Times New Roman" w:eastAsia="Times New Roman" w:hAnsi="Times New Roman" w:cs="Times New Roman"/>
                <w:color w:val="000000"/>
                <w:sz w:val="28"/>
                <w:szCs w:val="28"/>
                <w:lang w:eastAsia="ru-RU"/>
              </w:rPr>
              <w:lastRenderedPageBreak/>
              <w:t>установленные в КТРУ, например, соответствующие диапазоны датчиков</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w:lastRenderedPageBreak/>
              <mc:AlternateContent>
                <mc:Choice Requires="wps">
                  <w:drawing>
                    <wp:inline distT="0" distB="0" distL="0" distR="0" wp14:anchorId="6080A064" wp14:editId="18F8A21B">
                      <wp:extent cx="123825" cy="123825"/>
                      <wp:effectExtent l="0" t="0" r="0" b="0"/>
                      <wp:docPr id="34" name="AutoShape 5" descr="https://fzakon.ru/images/463833_00000005.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721913" id="AutoShape 5" o:spid="_x0000_s1026" alt="https://fzakon.ru/images/463833_00000005.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mCL1QIAAO0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3 шт.</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4195FFAF" wp14:editId="0B004DEB">
                      <wp:extent cx="123825" cy="123825"/>
                      <wp:effectExtent l="0" t="0" r="0" b="0"/>
                      <wp:docPr id="33" name="AutoShape 6" descr="https://fzakon.ru/images/463833_00000006.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C71296" id="AutoShape 6" o:spid="_x0000_s1026" alt="https://fzakon.ru/images/463833_00000006.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2 шт.</w:t>
            </w:r>
          </w:p>
        </w:tc>
      </w:tr>
      <w:tr w:rsidR="005C045A" w:rsidRPr="005C045A" w:rsidTr="005C045A">
        <w:tc>
          <w:tcPr>
            <w:tcW w:w="0" w:type="auto"/>
            <w:gridSpan w:val="5"/>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Компьютерное оборудование</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4.</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Ноутбук</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Примерный перечень характеристик формируется с учетом положений КТРУ, СП 2.4.3648-20 "Санитарно-эпидемиологические требования к организациям воспитания и обучения, отдыха и оздоровления детей и молодежи".</w:t>
            </w:r>
          </w:p>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При формировании примерных характеристик также возможно использование положений приказа Министерства просвещения Российской Федерации, Министерства цифрового развития, связи и массовых коммуникаций Российской Федерации от 08.09.2021 N 634/925 "Об утверждении стандарта оснащения государственных и муниципальных общеобразовательных организаций, </w:t>
            </w:r>
            <w:r w:rsidRPr="005C045A">
              <w:rPr>
                <w:rFonts w:ascii="Times New Roman" w:eastAsia="Times New Roman" w:hAnsi="Times New Roman" w:cs="Times New Roman"/>
                <w:color w:val="000000"/>
                <w:sz w:val="28"/>
                <w:szCs w:val="28"/>
                <w:lang w:eastAsia="ru-RU"/>
              </w:rPr>
              <w:lastRenderedPageBreak/>
              <w:t>осуществляющих образовательную деятельность в субъектах Российской Федерации, на территории которых проводится эксперимент по внедрению цифровой образовательной среды, компьютерным, мультимедийным, презентационным оборудованием и программным обеспечением"</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(Зарегистрирован 16.12.2021 N 66360).</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w:lastRenderedPageBreak/>
              <mc:AlternateContent>
                <mc:Choice Requires="wps">
                  <w:drawing>
                    <wp:inline distT="0" distB="0" distL="0" distR="0" wp14:anchorId="327EB0DF" wp14:editId="14A562E0">
                      <wp:extent cx="123825" cy="123825"/>
                      <wp:effectExtent l="0" t="0" r="0" b="0"/>
                      <wp:docPr id="32" name="AutoShape 7" descr="https://fzakon.ru/images/463833_00000007.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AC4EBD" id="AutoShape 7" o:spid="_x0000_s1026" alt="https://fzakon.ru/images/463833_00000007.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IUh1QIAAO0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3 шт.</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41541BC0" wp14:editId="5688DDD9">
                      <wp:extent cx="123825" cy="123825"/>
                      <wp:effectExtent l="0" t="0" r="0" b="0"/>
                      <wp:docPr id="31" name="AutoShape 8" descr="https://fzakon.ru/images/463833_00000008.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3D0614" id="AutoShape 8" o:spid="_x0000_s1026" alt="https://fzakon.ru/images/463833_00000008.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5gr1QIAAO0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2 шт.</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lastRenderedPageBreak/>
              <w:t>5.</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Многофункциональное устройство (принтер, сканер, копир)</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Примерный перечень характеристик формируется с учетом положений КТРУ. При формировании примерных характеристик также возможно использование положений приказа Министерства просвещения Российской Федерации, Министерства цифрового развития, связи и массовых коммуникаций Российской Федерации от 08.09.2021 N 634/925 "Об утверждении стандарта оснащения государственных и </w:t>
            </w:r>
            <w:r w:rsidRPr="005C045A">
              <w:rPr>
                <w:rFonts w:ascii="Times New Roman" w:eastAsia="Times New Roman" w:hAnsi="Times New Roman" w:cs="Times New Roman"/>
                <w:color w:val="000000"/>
                <w:sz w:val="28"/>
                <w:szCs w:val="28"/>
                <w:lang w:eastAsia="ru-RU"/>
              </w:rPr>
              <w:lastRenderedPageBreak/>
              <w:t>муниципальных общеобразовательных организаций, осуществляющих образовательную деятельность в субъектах Российской Федерации, на территории которых проводится эксперимент по внедрению цифровой образовательной среды, компьютерным, мультимедийным, презентационным оборудованием и программным обеспечением"</w:t>
            </w:r>
          </w:p>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(Зарегистрирован 16.12.2021 N 66360).</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w:lastRenderedPageBreak/>
              <mc:AlternateContent>
                <mc:Choice Requires="wps">
                  <w:drawing>
                    <wp:inline distT="0" distB="0" distL="0" distR="0" wp14:anchorId="52B96C31" wp14:editId="6E103A42">
                      <wp:extent cx="123825" cy="123825"/>
                      <wp:effectExtent l="0" t="0" r="0" b="0"/>
                      <wp:docPr id="30" name="AutoShape 9" descr="https://fzakon.ru/images/463833_00000009.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1FF132" id="AutoShape 9" o:spid="_x0000_s1026" alt="https://fzakon.ru/images/463833_00000009.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hxX1QIAAO0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2E786CAB" wp14:editId="08BE9D97">
                      <wp:extent cx="123825" cy="123825"/>
                      <wp:effectExtent l="0" t="0" r="0" b="0"/>
                      <wp:docPr id="29" name="AutoShape 10" descr="https://fzakon.ru/images/463833_0000001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A989D7" id="AutoShape 10" o:spid="_x0000_s1026" alt="https://fzakon.ru/images/463833_00000010.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dkO1gIAAO4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r>
      <w:tr w:rsidR="005C045A" w:rsidRPr="005C045A" w:rsidTr="005C045A">
        <w:tc>
          <w:tcPr>
            <w:tcW w:w="0" w:type="auto"/>
            <w:gridSpan w:val="4"/>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ДОПОЛНИТЕЛЬНОЕ ОБОРУДОВАНИЕ</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after="0" w:line="240" w:lineRule="auto"/>
              <w:rPr>
                <w:rFonts w:ascii="Times New Roman" w:eastAsia="Times New Roman" w:hAnsi="Times New Roman" w:cs="Times New Roman"/>
                <w:color w:val="000000"/>
                <w:sz w:val="28"/>
                <w:szCs w:val="28"/>
                <w:lang w:eastAsia="ru-RU"/>
              </w:rPr>
            </w:pP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1.</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Цифровая лаборатория по физиологии (профильный уровень)</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Приведенный примерный перечень характеристик разработан на основе КТРУ для кодов ОКПД2 26.20.40.190, 32.99.53.130, 26.51.52.130, 26.51.43.119.</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Предметная область: Физиология</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Тип пользователя: Обучающийся</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Предполагаемые типы датчиков:</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Беспроводной </w:t>
            </w:r>
            <w:proofErr w:type="spellStart"/>
            <w:r w:rsidRPr="005C045A">
              <w:rPr>
                <w:rFonts w:ascii="Times New Roman" w:eastAsia="Times New Roman" w:hAnsi="Times New Roman" w:cs="Times New Roman"/>
                <w:color w:val="000000"/>
                <w:sz w:val="28"/>
                <w:szCs w:val="28"/>
                <w:lang w:eastAsia="ru-RU"/>
              </w:rPr>
              <w:t>мультидатчик</w:t>
            </w:r>
            <w:proofErr w:type="spellEnd"/>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артериального давления</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пульса</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температуры тела</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колебания грудной клетки</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акселерометр</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Датчик-электрокардиограф</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кистевой силы</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освещенности</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Иные типы датчиков, предусмотренные КТРУ</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Кабель USB соединительный</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Дополнительные материалы в комплекте: Зарядное устройство с кабелем </w:t>
            </w:r>
            <w:proofErr w:type="spellStart"/>
            <w:r w:rsidRPr="005C045A">
              <w:rPr>
                <w:rFonts w:ascii="Times New Roman" w:eastAsia="Times New Roman" w:hAnsi="Times New Roman" w:cs="Times New Roman"/>
                <w:color w:val="000000"/>
                <w:sz w:val="28"/>
                <w:szCs w:val="28"/>
                <w:lang w:eastAsia="ru-RU"/>
              </w:rPr>
              <w:t>mini</w:t>
            </w:r>
            <w:proofErr w:type="spellEnd"/>
            <w:r w:rsidRPr="005C045A">
              <w:rPr>
                <w:rFonts w:ascii="Times New Roman" w:eastAsia="Times New Roman" w:hAnsi="Times New Roman" w:cs="Times New Roman"/>
                <w:color w:val="000000"/>
                <w:sz w:val="28"/>
                <w:szCs w:val="28"/>
                <w:lang w:eastAsia="ru-RU"/>
              </w:rPr>
              <w:t>-USB</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Дополнительные материалы в комплекте: USB Адаптер </w:t>
            </w:r>
            <w:proofErr w:type="spellStart"/>
            <w:r w:rsidRPr="005C045A">
              <w:rPr>
                <w:rFonts w:ascii="Times New Roman" w:eastAsia="Times New Roman" w:hAnsi="Times New Roman" w:cs="Times New Roman"/>
                <w:color w:val="000000"/>
                <w:sz w:val="28"/>
                <w:szCs w:val="28"/>
                <w:lang w:eastAsia="ru-RU"/>
              </w:rPr>
              <w:t>Bluetooth</w:t>
            </w:r>
            <w:proofErr w:type="spellEnd"/>
            <w:r w:rsidRPr="005C045A">
              <w:rPr>
                <w:rFonts w:ascii="Times New Roman" w:eastAsia="Times New Roman" w:hAnsi="Times New Roman" w:cs="Times New Roman"/>
                <w:color w:val="000000"/>
                <w:sz w:val="28"/>
                <w:szCs w:val="28"/>
                <w:lang w:eastAsia="ru-RU"/>
              </w:rPr>
              <w:t xml:space="preserve"> 4.1 </w:t>
            </w:r>
            <w:proofErr w:type="spellStart"/>
            <w:r w:rsidRPr="005C045A">
              <w:rPr>
                <w:rFonts w:ascii="Times New Roman" w:eastAsia="Times New Roman" w:hAnsi="Times New Roman" w:cs="Times New Roman"/>
                <w:color w:val="000000"/>
                <w:sz w:val="28"/>
                <w:szCs w:val="28"/>
                <w:lang w:eastAsia="ru-RU"/>
              </w:rPr>
              <w:t>Low</w:t>
            </w:r>
            <w:proofErr w:type="spellEnd"/>
            <w:r w:rsidRPr="005C045A">
              <w:rPr>
                <w:rFonts w:ascii="Times New Roman" w:eastAsia="Times New Roman" w:hAnsi="Times New Roman" w:cs="Times New Roman"/>
                <w:color w:val="000000"/>
                <w:sz w:val="28"/>
                <w:szCs w:val="28"/>
                <w:lang w:eastAsia="ru-RU"/>
              </w:rPr>
              <w:t xml:space="preserve"> </w:t>
            </w:r>
            <w:proofErr w:type="spellStart"/>
            <w:r w:rsidRPr="005C045A">
              <w:rPr>
                <w:rFonts w:ascii="Times New Roman" w:eastAsia="Times New Roman" w:hAnsi="Times New Roman" w:cs="Times New Roman"/>
                <w:color w:val="000000"/>
                <w:sz w:val="28"/>
                <w:szCs w:val="28"/>
                <w:lang w:eastAsia="ru-RU"/>
              </w:rPr>
              <w:t>Energy</w:t>
            </w:r>
            <w:proofErr w:type="spellEnd"/>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Дополнительные материалы в комплекте: Руководство по эксплуатации</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Программное обеспечение</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Справочно-методические материалы</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Наличие русскоязычного сайта поддержки: да</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Видеоролики</w:t>
            </w:r>
          </w:p>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 подготовке документации также предлагается рассмотреть необязательные характеристики, установленные в КТРУ, например, соответствующие диапазоны датчиков</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w:lastRenderedPageBreak/>
              <mc:AlternateContent>
                <mc:Choice Requires="wps">
                  <w:drawing>
                    <wp:inline distT="0" distB="0" distL="0" distR="0" wp14:anchorId="5CED9FEE" wp14:editId="70B6C0C9">
                      <wp:extent cx="123825" cy="123825"/>
                      <wp:effectExtent l="0" t="0" r="0" b="0"/>
                      <wp:docPr id="28" name="AutoShape 11" descr="https://fzakon.ru/images/463833_0000001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0A5228" id="AutoShape 11" o:spid="_x0000_s1026" alt="https://fzakon.ru/images/463833_00000011.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3Jq1gIAAO4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231D5610" wp14:editId="287BD954">
                      <wp:extent cx="123825" cy="123825"/>
                      <wp:effectExtent l="0" t="0" r="0" b="0"/>
                      <wp:docPr id="27" name="AutoShape 12" descr="https://fzakon.ru/images/463833_0000001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D9F5D4" id="AutoShape 12" o:spid="_x0000_s1026" alt="https://fzakon.ru/images/463833_00000012.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3+S1wIAAO4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lastRenderedPageBreak/>
              <w:t>2.</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Цифровая лаборатория по экологии</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Приведенный примерный перечень характеристик разработан на основе КТРУ для кодов ОКПД2 26.20.40.190, </w:t>
            </w:r>
            <w:r w:rsidRPr="005C045A">
              <w:rPr>
                <w:rFonts w:ascii="Times New Roman" w:eastAsia="Times New Roman" w:hAnsi="Times New Roman" w:cs="Times New Roman"/>
                <w:color w:val="000000"/>
                <w:sz w:val="28"/>
                <w:szCs w:val="28"/>
                <w:lang w:eastAsia="ru-RU"/>
              </w:rPr>
              <w:lastRenderedPageBreak/>
              <w:t>32.99.53.130, 26.51.52.130, 26.51.43.119.</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Предметная область: Экология</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Тип пользователя: Обучающийся</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Предполагаемые типы датчиков:</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Беспроводной </w:t>
            </w:r>
            <w:proofErr w:type="spellStart"/>
            <w:r w:rsidRPr="005C045A">
              <w:rPr>
                <w:rFonts w:ascii="Times New Roman" w:eastAsia="Times New Roman" w:hAnsi="Times New Roman" w:cs="Times New Roman"/>
                <w:color w:val="000000"/>
                <w:sz w:val="28"/>
                <w:szCs w:val="28"/>
                <w:lang w:eastAsia="ru-RU"/>
              </w:rPr>
              <w:t>мультидатчик</w:t>
            </w:r>
            <w:proofErr w:type="spellEnd"/>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концентрации нитрат-ионов</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концентрации ионов хлора</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Датчик уровня </w:t>
            </w:r>
            <w:proofErr w:type="spellStart"/>
            <w:r w:rsidRPr="005C045A">
              <w:rPr>
                <w:rFonts w:ascii="Times New Roman" w:eastAsia="Times New Roman" w:hAnsi="Times New Roman" w:cs="Times New Roman"/>
                <w:color w:val="000000"/>
                <w:sz w:val="28"/>
                <w:szCs w:val="28"/>
                <w:lang w:eastAsia="ru-RU"/>
              </w:rPr>
              <w:t>pH</w:t>
            </w:r>
            <w:proofErr w:type="spellEnd"/>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относительной влажности</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освещенности</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температуры исследуемой среды</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электрической проводимости</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температуры окружающей среды</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звука</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влажности почвы</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окиси углерода</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Иные типы датчиков, предусмотренные КТРУ</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Кабель USB соединительный</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Дополнительные материалы в комплекте: Зарядное устройство с кабелем </w:t>
            </w:r>
            <w:proofErr w:type="spellStart"/>
            <w:r w:rsidRPr="005C045A">
              <w:rPr>
                <w:rFonts w:ascii="Times New Roman" w:eastAsia="Times New Roman" w:hAnsi="Times New Roman" w:cs="Times New Roman"/>
                <w:color w:val="000000"/>
                <w:sz w:val="28"/>
                <w:szCs w:val="28"/>
                <w:lang w:eastAsia="ru-RU"/>
              </w:rPr>
              <w:t>mini</w:t>
            </w:r>
            <w:proofErr w:type="spellEnd"/>
            <w:r w:rsidRPr="005C045A">
              <w:rPr>
                <w:rFonts w:ascii="Times New Roman" w:eastAsia="Times New Roman" w:hAnsi="Times New Roman" w:cs="Times New Roman"/>
                <w:color w:val="000000"/>
                <w:sz w:val="28"/>
                <w:szCs w:val="28"/>
                <w:lang w:eastAsia="ru-RU"/>
              </w:rPr>
              <w:t>-USB</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Дополнительные материалы в комплекте: USB Адаптер </w:t>
            </w:r>
            <w:proofErr w:type="spellStart"/>
            <w:r w:rsidRPr="005C045A">
              <w:rPr>
                <w:rFonts w:ascii="Times New Roman" w:eastAsia="Times New Roman" w:hAnsi="Times New Roman" w:cs="Times New Roman"/>
                <w:color w:val="000000"/>
                <w:sz w:val="28"/>
                <w:szCs w:val="28"/>
                <w:lang w:eastAsia="ru-RU"/>
              </w:rPr>
              <w:t>Bluetooth</w:t>
            </w:r>
            <w:proofErr w:type="spellEnd"/>
            <w:r w:rsidRPr="005C045A">
              <w:rPr>
                <w:rFonts w:ascii="Times New Roman" w:eastAsia="Times New Roman" w:hAnsi="Times New Roman" w:cs="Times New Roman"/>
                <w:color w:val="000000"/>
                <w:sz w:val="28"/>
                <w:szCs w:val="28"/>
                <w:lang w:eastAsia="ru-RU"/>
              </w:rPr>
              <w:t xml:space="preserve"> 4.1 </w:t>
            </w:r>
            <w:proofErr w:type="spellStart"/>
            <w:r w:rsidRPr="005C045A">
              <w:rPr>
                <w:rFonts w:ascii="Times New Roman" w:eastAsia="Times New Roman" w:hAnsi="Times New Roman" w:cs="Times New Roman"/>
                <w:color w:val="000000"/>
                <w:sz w:val="28"/>
                <w:szCs w:val="28"/>
                <w:lang w:eastAsia="ru-RU"/>
              </w:rPr>
              <w:t>Low</w:t>
            </w:r>
            <w:proofErr w:type="spellEnd"/>
            <w:r w:rsidRPr="005C045A">
              <w:rPr>
                <w:rFonts w:ascii="Times New Roman" w:eastAsia="Times New Roman" w:hAnsi="Times New Roman" w:cs="Times New Roman"/>
                <w:color w:val="000000"/>
                <w:sz w:val="28"/>
                <w:szCs w:val="28"/>
                <w:lang w:eastAsia="ru-RU"/>
              </w:rPr>
              <w:t xml:space="preserve"> </w:t>
            </w:r>
            <w:proofErr w:type="spellStart"/>
            <w:r w:rsidRPr="005C045A">
              <w:rPr>
                <w:rFonts w:ascii="Times New Roman" w:eastAsia="Times New Roman" w:hAnsi="Times New Roman" w:cs="Times New Roman"/>
                <w:color w:val="000000"/>
                <w:sz w:val="28"/>
                <w:szCs w:val="28"/>
                <w:lang w:eastAsia="ru-RU"/>
              </w:rPr>
              <w:t>Energy</w:t>
            </w:r>
            <w:proofErr w:type="spellEnd"/>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Руководство по эксплуатации</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Программное обеспечение</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Справочно-методические материалы</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Упаковка</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Наличие русскоязычного сайта поддержки: да</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Видеоролики</w:t>
            </w:r>
          </w:p>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 подготовке документации также предлагается рассмотреть необязательные характеристики, установленные в КТРУ, например, соответствующие диапазоны датчиков</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w:lastRenderedPageBreak/>
              <mc:AlternateContent>
                <mc:Choice Requires="wps">
                  <w:drawing>
                    <wp:inline distT="0" distB="0" distL="0" distR="0" wp14:anchorId="377B6D2B" wp14:editId="2D6EF816">
                      <wp:extent cx="123825" cy="123825"/>
                      <wp:effectExtent l="0" t="0" r="0" b="0"/>
                      <wp:docPr id="26" name="AutoShape 13" descr="https://fzakon.ru/images/463833_0000001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0986D3" id="AutoShape 13" o:spid="_x0000_s1026" alt="https://fzakon.ru/images/463833_00000013.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dT21wIAAO4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1517DDCB" wp14:editId="33656C7B">
                      <wp:extent cx="123825" cy="123825"/>
                      <wp:effectExtent l="0" t="0" r="0" b="0"/>
                      <wp:docPr id="25" name="AutoShape 14" descr="https://fzakon.ru/images/463833_0000001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6686C9" id="AutoShape 14" o:spid="_x0000_s1026" alt="https://fzakon.ru/images/463833_00000014.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lastRenderedPageBreak/>
              <w:t>3.</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Учебная лаборатория по </w:t>
            </w:r>
            <w:proofErr w:type="spellStart"/>
            <w:r w:rsidRPr="005C045A">
              <w:rPr>
                <w:rFonts w:ascii="Times New Roman" w:eastAsia="Times New Roman" w:hAnsi="Times New Roman" w:cs="Times New Roman"/>
                <w:color w:val="000000"/>
                <w:sz w:val="28"/>
                <w:szCs w:val="28"/>
                <w:lang w:eastAsia="ru-RU"/>
              </w:rPr>
              <w:t>нейротехнологии</w:t>
            </w:r>
            <w:proofErr w:type="spellEnd"/>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Приведенный примерный перечень характеристик разработан на основе КТРУ для кодов ОКПД2 26.20.40.190, 32.99.53.130, 26.51.52.130, 26.51.43.119.</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Предметная область: </w:t>
            </w:r>
            <w:proofErr w:type="spellStart"/>
            <w:r w:rsidRPr="005C045A">
              <w:rPr>
                <w:rFonts w:ascii="Times New Roman" w:eastAsia="Times New Roman" w:hAnsi="Times New Roman" w:cs="Times New Roman"/>
                <w:color w:val="000000"/>
                <w:sz w:val="28"/>
                <w:szCs w:val="28"/>
                <w:lang w:eastAsia="ru-RU"/>
              </w:rPr>
              <w:t>Нейротехнологии</w:t>
            </w:r>
            <w:proofErr w:type="spellEnd"/>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Тип пользователя: Обучающийся</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Предполагаемые типы датчиков:</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Беспроводной </w:t>
            </w:r>
            <w:proofErr w:type="spellStart"/>
            <w:r w:rsidRPr="005C045A">
              <w:rPr>
                <w:rFonts w:ascii="Times New Roman" w:eastAsia="Times New Roman" w:hAnsi="Times New Roman" w:cs="Times New Roman"/>
                <w:color w:val="000000"/>
                <w:sz w:val="28"/>
                <w:szCs w:val="28"/>
                <w:lang w:eastAsia="ru-RU"/>
              </w:rPr>
              <w:t>мультидатчик</w:t>
            </w:r>
            <w:proofErr w:type="spellEnd"/>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электрической активности мышц</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Одноразовые электроды для измерения сигналов ЭКГ, ЭМГ</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Датчик </w:t>
            </w:r>
            <w:proofErr w:type="spellStart"/>
            <w:r w:rsidRPr="005C045A">
              <w:rPr>
                <w:rFonts w:ascii="Times New Roman" w:eastAsia="Times New Roman" w:hAnsi="Times New Roman" w:cs="Times New Roman"/>
                <w:color w:val="000000"/>
                <w:sz w:val="28"/>
                <w:szCs w:val="28"/>
                <w:lang w:eastAsia="ru-RU"/>
              </w:rPr>
              <w:t>фотоплетизмограммы</w:t>
            </w:r>
            <w:proofErr w:type="spellEnd"/>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Датчик-электрокардиограф</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кожно-гальванической реакции</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Сухой электрод регистрации ЭЭГ</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колебания грудной клетки</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Датчик артериального давления</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Иные типы датчиков, предусмотренные КТРУ</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Устройство для передачи данных от датчиков на персональный компьютер</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Кабель USB соединительный</w:t>
            </w:r>
          </w:p>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Дополнительные материалы в комплекте: Справочно-методические материалы</w:t>
            </w:r>
          </w:p>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При подготовке документации также предлагается рассмотреть необязательные характеристики, установленные в КТРУ, например, соответствующие диапазоны датчиков</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w:lastRenderedPageBreak/>
              <mc:AlternateContent>
                <mc:Choice Requires="wps">
                  <w:drawing>
                    <wp:inline distT="0" distB="0" distL="0" distR="0" wp14:anchorId="4FA4800C" wp14:editId="02F75B02">
                      <wp:extent cx="123825" cy="123825"/>
                      <wp:effectExtent l="0" t="0" r="0" b="0"/>
                      <wp:docPr id="24" name="AutoShape 15" descr="https://fzakon.ru/images/463833_00000015.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4E8D30" id="AutoShape 15" o:spid="_x0000_s1026" alt="https://fzakon.ru/images/463833_00000015.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gxF1gIAAO4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74D13B40" wp14:editId="7F6B3E38">
                      <wp:extent cx="123825" cy="123825"/>
                      <wp:effectExtent l="0" t="0" r="0" b="0"/>
                      <wp:docPr id="23" name="AutoShape 16" descr="https://fzakon.ru/images/463833_00000016.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C310F8" id="AutoShape 16" o:spid="_x0000_s1026" alt="https://fzakon.ru/images/463833_00000016.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Db1wIAAO4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lastRenderedPageBreak/>
              <w:t>4.</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Микроскоп цифровой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Рекомендуется использование характеристик на основе КТРУ для кода ОКПД2 26.51.61.110</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19DAFFDC" wp14:editId="313CC47B">
                      <wp:extent cx="123825" cy="123825"/>
                      <wp:effectExtent l="0" t="0" r="0" b="0"/>
                      <wp:docPr id="22" name="AutoShape 17" descr="https://fzakon.ru/images/463833_00000017.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5D8145" id="AutoShape 17" o:spid="_x0000_s1026" alt="https://fzakon.ru/images/463833_00000017.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u/1wIAAO4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01966D46" wp14:editId="26A79C18">
                      <wp:extent cx="123825" cy="123825"/>
                      <wp:effectExtent l="0" t="0" r="0" b="0"/>
                      <wp:docPr id="21" name="AutoShape 18" descr="https://fzakon.ru/images/463833_00000018.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337A5A" id="AutoShape 18" o:spid="_x0000_s1026" alt="https://fzakon.ru/images/463833_00000018.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Wed1gIAAO4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5.</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Набор ОГЭ/ЕГЭ (химия) &lt;9&gt;</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Рекомендуется формировать набор ОГЭ/ЕГЭ, позволяющий проводить практические задания при проведении общего государственного экзамена по химии с использованием соответствующей лабораторной посуды, реактивов, учебно-демонстрационного оборудования.</w:t>
            </w:r>
          </w:p>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 формировании рекомендуется учитывать фактическую потребность образовательных организаций.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02EABB73" wp14:editId="56D15710">
                      <wp:extent cx="123825" cy="123825"/>
                      <wp:effectExtent l="0" t="0" r="0" b="0"/>
                      <wp:docPr id="20" name="AutoShape 19" descr="https://fzakon.ru/images/463833_00000019.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E57FB6" id="AutoShape 19" o:spid="_x0000_s1026" alt="https://fzakon.ru/images/463833_00000019.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0225D3EB" wp14:editId="5B848116">
                      <wp:extent cx="123825" cy="123825"/>
                      <wp:effectExtent l="0" t="0" r="0" b="0"/>
                      <wp:docPr id="19" name="AutoShape 20" descr="https://fzakon.ru/images/463833_0000002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0BACFA" id="AutoShape 20" o:spid="_x0000_s1026" alt="https://fzakon.ru/images/463833_00000020.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lastRenderedPageBreak/>
              <w:t>6.</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Набор ОГЭ/ЕГЭ (физика) &lt;10&gt;</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Рекомендуется формировать набор ОГЭ/ЕГЭ, позволяющий проводить практические задания при проведении общего государственного экзамена по физике с использованием соответствующей лабораторной посуды, реактивов, учебно-демонстрационного оборудования.</w:t>
            </w:r>
          </w:p>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 формировании рекомендуется учитывать фактическую потребность образовательных организаций.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003F92A3" wp14:editId="4FE0C049">
                      <wp:extent cx="123825" cy="123825"/>
                      <wp:effectExtent l="0" t="0" r="0" b="0"/>
                      <wp:docPr id="18" name="AutoShape 21" descr="https://fzakon.ru/images/463833_0000002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A8D54D" id="AutoShape 21" o:spid="_x0000_s1026" alt="https://fzakon.ru/images/463833_00000021.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mWl1gIAAO4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21E91B28" wp14:editId="4A02B5CF">
                      <wp:extent cx="123825" cy="123825"/>
                      <wp:effectExtent l="0" t="0" r="0" b="0"/>
                      <wp:docPr id="17" name="AutoShape 22" descr="https://fzakon.ru/images/463833_0000002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E455F9" id="AutoShape 22" o:spid="_x0000_s1026" alt="https://fzakon.ru/images/463833_00000022.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mhd1gIAAO4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7.</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Оборудование для демонстрации опытов (химия) &lt;11&gt;</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Рекомендуется формировать набор, позволяющий проводить демонстрацию практических опытов по химии.</w:t>
            </w:r>
          </w:p>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 формировании рекомендуется учитывать фактическую потребность образовательных организаций.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06C380CC" wp14:editId="0D199F76">
                      <wp:extent cx="123825" cy="123825"/>
                      <wp:effectExtent l="0" t="0" r="0" b="0"/>
                      <wp:docPr id="16" name="AutoShape 23" descr="https://fzakon.ru/images/463833_0000002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11300F" id="AutoShape 23" o:spid="_x0000_s1026" alt="https://fzakon.ru/images/463833_00000023.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MM51gIAAO4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1530C626" wp14:editId="2D004037">
                      <wp:extent cx="123825" cy="123825"/>
                      <wp:effectExtent l="0" t="0" r="0" b="0"/>
                      <wp:docPr id="15" name="AutoShape 24" descr="https://fzakon.ru/images/463833_0000002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781941" id="AutoShape 24" o:spid="_x0000_s1026" alt="https://fzakon.ru/images/463833_00000024.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lastRenderedPageBreak/>
              <w:t>8.</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Оборудование для демонстрации опытов (физика) &lt;12&gt;</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Рекомендуется формировать набор, позволяющий проводить демонстрацию практических опытов по физике.</w:t>
            </w:r>
          </w:p>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 формировании рекомендуется учитывать фактическую потребность образовательных организаций.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0B2E6C33" wp14:editId="6F551DD6">
                      <wp:extent cx="123825" cy="123825"/>
                      <wp:effectExtent l="0" t="0" r="0" b="0"/>
                      <wp:docPr id="14" name="AutoShape 25" descr="https://fzakon.ru/images/463833_00000025.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12E82C" id="AutoShape 25" o:spid="_x0000_s1026" alt="https://fzakon.ru/images/463833_00000025.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xuK1QIAAO4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0EF987D5" wp14:editId="3CEE2699">
                      <wp:extent cx="123825" cy="123825"/>
                      <wp:effectExtent l="0" t="0" r="0" b="0"/>
                      <wp:docPr id="13" name="AutoShape 26" descr="https://fzakon.ru/images/463833_00000026.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6FDC19" id="AutoShape 26" o:spid="_x0000_s1026" alt="https://fzakon.ru/images/463833_00000026.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LcU1gIAAO4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9.</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Комплект посуды и оборудования для ученических опытов (химия, физика, биология)</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Рекомендуется формировать набор посуды и оборудования, позволяющий проводить ученические опыты по химии, физике и биологии.</w:t>
            </w:r>
          </w:p>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 формировании рекомендуется учитывать фактическую потребность образовательных организаций.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15DCA10E" wp14:editId="30222C88">
                      <wp:extent cx="123825" cy="123825"/>
                      <wp:effectExtent l="0" t="0" r="0" b="0"/>
                      <wp:docPr id="12" name="AutoShape 27" descr="https://fzakon.ru/images/463833_00000027.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4D04E2" id="AutoShape 27" o:spid="_x0000_s1026" alt="https://fzakon.ru/images/463833_00000027.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hxw1gIAAO4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4C1B476D" wp14:editId="1C1D7437">
                      <wp:extent cx="123825" cy="123825"/>
                      <wp:effectExtent l="0" t="0" r="0" b="0"/>
                      <wp:docPr id="11" name="AutoShape 28" descr="https://fzakon.ru/images/463833_00000028.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588C49" id="AutoShape 28" o:spid="_x0000_s1026" alt="https://fzakon.ru/images/463833_00000028.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BS1gIAAO4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t>10.</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Образовательный конструктор для практики блочного программирования с комплектом датчиков</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Рекомендуется формировать характеристики с учетом положений КТРУ для кода ОКПД2 32.99.53.130, исходя из предназначения конструктора для </w:t>
            </w:r>
            <w:r w:rsidRPr="005C045A">
              <w:rPr>
                <w:rFonts w:ascii="Times New Roman" w:eastAsia="Times New Roman" w:hAnsi="Times New Roman" w:cs="Times New Roman"/>
                <w:color w:val="000000"/>
                <w:sz w:val="28"/>
                <w:szCs w:val="28"/>
                <w:lang w:eastAsia="ru-RU"/>
              </w:rPr>
              <w:lastRenderedPageBreak/>
              <w:t xml:space="preserve">изучения основ робототехники, деталей, узлов и механизмов, необходимых для создания робототехнических устройств, и обеспечивающих развитие таких навыков и </w:t>
            </w:r>
            <w:proofErr w:type="gramStart"/>
            <w:r w:rsidRPr="005C045A">
              <w:rPr>
                <w:rFonts w:ascii="Times New Roman" w:eastAsia="Times New Roman" w:hAnsi="Times New Roman" w:cs="Times New Roman"/>
                <w:color w:val="000000"/>
                <w:sz w:val="28"/>
                <w:szCs w:val="28"/>
                <w:lang w:eastAsia="ru-RU"/>
              </w:rPr>
              <w:t>знаний</w:t>
            </w:r>
            <w:proofErr w:type="gramEnd"/>
            <w:r w:rsidRPr="005C045A">
              <w:rPr>
                <w:rFonts w:ascii="Times New Roman" w:eastAsia="Times New Roman" w:hAnsi="Times New Roman" w:cs="Times New Roman"/>
                <w:color w:val="000000"/>
                <w:sz w:val="28"/>
                <w:szCs w:val="28"/>
                <w:lang w:eastAsia="ru-RU"/>
              </w:rPr>
              <w:t xml:space="preserve"> обучающихся как:</w:t>
            </w:r>
          </w:p>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сборка робототехнических механизмов, выполняющих различные практические задачи</w:t>
            </w:r>
          </w:p>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создание алгоритмов управления исполнительными механизмами моделей роботов в том числе на основании поступающих с датчиков сигналов</w:t>
            </w:r>
          </w:p>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изучение механики и применение законов физики;</w:t>
            </w:r>
          </w:p>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создание комплексных программ управления автоматическими или робототехническими устройствами при использовании универсальных программируемых контроллеров.</w:t>
            </w:r>
          </w:p>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lastRenderedPageBreak/>
              <w:t xml:space="preserve">Предполагается, что конструктор представляет собой комплект структурных элементов, соединительных элементов и электротехнических компонентов, позволяющих собирать (и программировать собираемые модели) из элементов, входящих в его состав, модели </w:t>
            </w:r>
            <w:proofErr w:type="spellStart"/>
            <w:r w:rsidRPr="005C045A">
              <w:rPr>
                <w:rFonts w:ascii="Times New Roman" w:eastAsia="Times New Roman" w:hAnsi="Times New Roman" w:cs="Times New Roman"/>
                <w:color w:val="000000"/>
                <w:sz w:val="28"/>
                <w:szCs w:val="28"/>
                <w:lang w:eastAsia="ru-RU"/>
              </w:rPr>
              <w:t>мехатронных</w:t>
            </w:r>
            <w:proofErr w:type="spellEnd"/>
            <w:r w:rsidRPr="005C045A">
              <w:rPr>
                <w:rFonts w:ascii="Times New Roman" w:eastAsia="Times New Roman" w:hAnsi="Times New Roman" w:cs="Times New Roman"/>
                <w:color w:val="000000"/>
                <w:sz w:val="28"/>
                <w:szCs w:val="28"/>
                <w:lang w:eastAsia="ru-RU"/>
              </w:rPr>
              <w:t xml:space="preserve"> и робототехнических устройств с автоматизированным управлением.</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w:lastRenderedPageBreak/>
              <mc:AlternateContent>
                <mc:Choice Requires="wps">
                  <w:drawing>
                    <wp:inline distT="0" distB="0" distL="0" distR="0" wp14:anchorId="4D8FFEAB" wp14:editId="669C60A0">
                      <wp:extent cx="123825" cy="123825"/>
                      <wp:effectExtent l="0" t="0" r="0" b="0"/>
                      <wp:docPr id="10" name="AutoShape 29" descr="https://fzakon.ru/images/463833_00000029.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EED643" id="AutoShape 29" o:spid="_x0000_s1026" alt="https://fzakon.ru/images/463833_00000029.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ts21gIAAO4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2829D504" wp14:editId="183ABFCA">
                      <wp:extent cx="123825" cy="123825"/>
                      <wp:effectExtent l="0" t="0" r="0" b="0"/>
                      <wp:docPr id="9" name="AutoShape 30" descr="https://fzakon.ru/images/463833_0000003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880C42" id="AutoShape 30" o:spid="_x0000_s1026" alt="https://fzakon.ru/images/463833_00000030.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8aw1gIAAO0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lastRenderedPageBreak/>
              <w:t>11.</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Образовательный набор по механике, </w:t>
            </w:r>
            <w:proofErr w:type="spellStart"/>
            <w:r w:rsidRPr="005C045A">
              <w:rPr>
                <w:rFonts w:ascii="Times New Roman" w:eastAsia="Times New Roman" w:hAnsi="Times New Roman" w:cs="Times New Roman"/>
                <w:color w:val="000000"/>
                <w:sz w:val="28"/>
                <w:szCs w:val="28"/>
                <w:lang w:eastAsia="ru-RU"/>
              </w:rPr>
              <w:t>мехатронике</w:t>
            </w:r>
            <w:proofErr w:type="spellEnd"/>
            <w:r w:rsidRPr="005C045A">
              <w:rPr>
                <w:rFonts w:ascii="Times New Roman" w:eastAsia="Times New Roman" w:hAnsi="Times New Roman" w:cs="Times New Roman"/>
                <w:color w:val="000000"/>
                <w:sz w:val="28"/>
                <w:szCs w:val="28"/>
                <w:lang w:eastAsia="ru-RU"/>
              </w:rPr>
              <w:t xml:space="preserve"> и робототехнике</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Рекомендуется формировать характеристики с учетом положений КТРУ для кода ОКПД2 32.99.53.130, исходя из предназначения конструктора для проведения учебных занятий по электронике и </w:t>
            </w:r>
            <w:proofErr w:type="spellStart"/>
            <w:r w:rsidRPr="005C045A">
              <w:rPr>
                <w:rFonts w:ascii="Times New Roman" w:eastAsia="Times New Roman" w:hAnsi="Times New Roman" w:cs="Times New Roman"/>
                <w:color w:val="000000"/>
                <w:sz w:val="28"/>
                <w:szCs w:val="28"/>
                <w:lang w:eastAsia="ru-RU"/>
              </w:rPr>
              <w:t>схемотехнике</w:t>
            </w:r>
            <w:proofErr w:type="spellEnd"/>
            <w:r w:rsidRPr="005C045A">
              <w:rPr>
                <w:rFonts w:ascii="Times New Roman" w:eastAsia="Times New Roman" w:hAnsi="Times New Roman" w:cs="Times New Roman"/>
                <w:color w:val="000000"/>
                <w:sz w:val="28"/>
                <w:szCs w:val="28"/>
                <w:lang w:eastAsia="ru-RU"/>
              </w:rPr>
              <w:t xml:space="preserve"> с целью изучения наиболее распространенной элементной базы, применяемой для инженерно-технического творчества учащихся и разработки учебных моделей роботов и обеспечивающих развитие таких </w:t>
            </w:r>
            <w:r w:rsidRPr="005C045A">
              <w:rPr>
                <w:rFonts w:ascii="Times New Roman" w:eastAsia="Times New Roman" w:hAnsi="Times New Roman" w:cs="Times New Roman"/>
                <w:color w:val="000000"/>
                <w:sz w:val="28"/>
                <w:szCs w:val="28"/>
                <w:lang w:eastAsia="ru-RU"/>
              </w:rPr>
              <w:lastRenderedPageBreak/>
              <w:t>навыков и знаний обучающихся как изучение основ разработки программных и аппаратных комплексов инженерных систем, решений в сфере "Интернет вещей", а также решений в области робототехники, искусственного интеллекта и машинного обучения.</w:t>
            </w:r>
          </w:p>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Рекомендуется формировать характеристики набора с целью возможности обеспечения учащимся на практике осваивать основные технологии проектирования робототехнических комплексов на примере учебных моделей роботов, а также изучать основные технические решения в области кибернетических и встраиваемых систем.</w:t>
            </w:r>
          </w:p>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Предполагается, что набор представляет собой комплекты конструктивных элементов для сборки макета манипуляционного робота, металлических конструктивных элементов для сборки </w:t>
            </w:r>
            <w:r w:rsidRPr="005C045A">
              <w:rPr>
                <w:rFonts w:ascii="Times New Roman" w:eastAsia="Times New Roman" w:hAnsi="Times New Roman" w:cs="Times New Roman"/>
                <w:color w:val="000000"/>
                <w:sz w:val="28"/>
                <w:szCs w:val="28"/>
                <w:lang w:eastAsia="ru-RU"/>
              </w:rPr>
              <w:lastRenderedPageBreak/>
              <w:t xml:space="preserve">макета мобильного робота и т.п., а также электронных компонентов для изучения основ электроники и </w:t>
            </w:r>
            <w:proofErr w:type="spellStart"/>
            <w:r w:rsidRPr="005C045A">
              <w:rPr>
                <w:rFonts w:ascii="Times New Roman" w:eastAsia="Times New Roman" w:hAnsi="Times New Roman" w:cs="Times New Roman"/>
                <w:color w:val="000000"/>
                <w:sz w:val="28"/>
                <w:szCs w:val="28"/>
                <w:lang w:eastAsia="ru-RU"/>
              </w:rPr>
              <w:t>схемотехники</w:t>
            </w:r>
            <w:proofErr w:type="spellEnd"/>
            <w:r w:rsidRPr="005C045A">
              <w:rPr>
                <w:rFonts w:ascii="Times New Roman" w:eastAsia="Times New Roman" w:hAnsi="Times New Roman" w:cs="Times New Roman"/>
                <w:color w:val="000000"/>
                <w:sz w:val="28"/>
                <w:szCs w:val="28"/>
                <w:lang w:eastAsia="ru-RU"/>
              </w:rPr>
              <w:t>, а также комплект приводов и датчиков различного типа для разработки робототехнических комплексов.</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w:lastRenderedPageBreak/>
              <mc:AlternateContent>
                <mc:Choice Requires="wps">
                  <w:drawing>
                    <wp:inline distT="0" distB="0" distL="0" distR="0" wp14:anchorId="67DDCDB2" wp14:editId="7216463A">
                      <wp:extent cx="123825" cy="123825"/>
                      <wp:effectExtent l="0" t="0" r="0" b="0"/>
                      <wp:docPr id="8" name="AutoShape 31" descr="https://fzakon.ru/images/463833_0000003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F9792A" id="AutoShape 31" o:spid="_x0000_s1026" alt="https://fzakon.ru/images/463833_00000031.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43291E4C" wp14:editId="608A4413">
                      <wp:extent cx="123825" cy="123825"/>
                      <wp:effectExtent l="0" t="0" r="0" b="0"/>
                      <wp:docPr id="7" name="AutoShape 32" descr="https://fzakon.ru/images/463833_0000003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7864BA" id="AutoShape 32" o:spid="_x0000_s1026" alt="https://fzakon.ru/images/463833_00000032.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WAs1gIAAO0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lastRenderedPageBreak/>
              <w:t>12.</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proofErr w:type="spellStart"/>
            <w:r w:rsidRPr="005C045A">
              <w:rPr>
                <w:rFonts w:ascii="Times New Roman" w:eastAsia="Times New Roman" w:hAnsi="Times New Roman" w:cs="Times New Roman"/>
                <w:color w:val="000000"/>
                <w:sz w:val="28"/>
                <w:szCs w:val="28"/>
                <w:lang w:eastAsia="ru-RU"/>
              </w:rPr>
              <w:t>Четырехосевой</w:t>
            </w:r>
            <w:proofErr w:type="spellEnd"/>
            <w:r w:rsidRPr="005C045A">
              <w:rPr>
                <w:rFonts w:ascii="Times New Roman" w:eastAsia="Times New Roman" w:hAnsi="Times New Roman" w:cs="Times New Roman"/>
                <w:color w:val="000000"/>
                <w:sz w:val="28"/>
                <w:szCs w:val="28"/>
                <w:lang w:eastAsia="ru-RU"/>
              </w:rPr>
              <w:t xml:space="preserve"> учебный робот-манипулятор с модульными сменными насадками</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Рекомендуется формировать характеристики с учетом положений КТРУ для кодов ОКПД2 32.99.53.110, 32.40.20.130, 32.99.53.120 исходя из необходимости обеспечения развитие таких навыков и </w:t>
            </w:r>
            <w:proofErr w:type="gramStart"/>
            <w:r w:rsidRPr="005C045A">
              <w:rPr>
                <w:rFonts w:ascii="Times New Roman" w:eastAsia="Times New Roman" w:hAnsi="Times New Roman" w:cs="Times New Roman"/>
                <w:color w:val="000000"/>
                <w:sz w:val="28"/>
                <w:szCs w:val="28"/>
                <w:lang w:eastAsia="ru-RU"/>
              </w:rPr>
              <w:t>знаний</w:t>
            </w:r>
            <w:proofErr w:type="gramEnd"/>
            <w:r w:rsidRPr="005C045A">
              <w:rPr>
                <w:rFonts w:ascii="Times New Roman" w:eastAsia="Times New Roman" w:hAnsi="Times New Roman" w:cs="Times New Roman"/>
                <w:color w:val="000000"/>
                <w:sz w:val="28"/>
                <w:szCs w:val="28"/>
                <w:lang w:eastAsia="ru-RU"/>
              </w:rPr>
              <w:t xml:space="preserve"> обучающихся как:</w:t>
            </w:r>
          </w:p>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сборка манипуляционных робототехнических механизмов, выполняющих различные практические задачи;</w:t>
            </w:r>
          </w:p>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изучение промышленного применения манипуляционных роботов;</w:t>
            </w:r>
          </w:p>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 создание алгоритмов управления </w:t>
            </w:r>
            <w:r w:rsidRPr="005C045A">
              <w:rPr>
                <w:rFonts w:ascii="Times New Roman" w:eastAsia="Times New Roman" w:hAnsi="Times New Roman" w:cs="Times New Roman"/>
                <w:color w:val="000000"/>
                <w:sz w:val="28"/>
                <w:szCs w:val="28"/>
                <w:lang w:eastAsia="ru-RU"/>
              </w:rPr>
              <w:lastRenderedPageBreak/>
              <w:t>исполнительными механизмами моделей.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w:lastRenderedPageBreak/>
              <mc:AlternateContent>
                <mc:Choice Requires="wps">
                  <w:drawing>
                    <wp:inline distT="0" distB="0" distL="0" distR="0" wp14:anchorId="1B7C3462" wp14:editId="0ED9A9E9">
                      <wp:extent cx="123825" cy="123825"/>
                      <wp:effectExtent l="0" t="0" r="0" b="0"/>
                      <wp:docPr id="6" name="AutoShape 33" descr="https://fzakon.ru/images/463833_0000003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17D54E" id="AutoShape 33" o:spid="_x0000_s1026" alt="https://fzakon.ru/images/463833_00000033.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06F2673A" wp14:editId="5A32341B">
                      <wp:extent cx="123825" cy="123825"/>
                      <wp:effectExtent l="0" t="0" r="0" b="0"/>
                      <wp:docPr id="5" name="AutoShape 34" descr="https://fzakon.ru/images/463833_0000003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54AEB9" id="AutoShape 34" o:spid="_x0000_s1026" alt="https://fzakon.ru/images/463833_00000034.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r>
      <w:tr w:rsidR="005C045A" w:rsidRPr="005C045A" w:rsidTr="005C045A">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lastRenderedPageBreak/>
              <w:t>13.</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Образовательный набор для изучения многокомпонентных робототехнических систем и манипуляционных роботов</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Рекомендуется формировать характеристики с учетом положений КТРУ для кода ОКПД2 32.99.53.130, исходя из необходимости обеспечения развитие таких навыков и </w:t>
            </w:r>
            <w:proofErr w:type="gramStart"/>
            <w:r w:rsidRPr="005C045A">
              <w:rPr>
                <w:rFonts w:ascii="Times New Roman" w:eastAsia="Times New Roman" w:hAnsi="Times New Roman" w:cs="Times New Roman"/>
                <w:color w:val="000000"/>
                <w:sz w:val="28"/>
                <w:szCs w:val="28"/>
                <w:lang w:eastAsia="ru-RU"/>
              </w:rPr>
              <w:t>знаний</w:t>
            </w:r>
            <w:proofErr w:type="gramEnd"/>
            <w:r w:rsidRPr="005C045A">
              <w:rPr>
                <w:rFonts w:ascii="Times New Roman" w:eastAsia="Times New Roman" w:hAnsi="Times New Roman" w:cs="Times New Roman"/>
                <w:color w:val="000000"/>
                <w:sz w:val="28"/>
                <w:szCs w:val="28"/>
                <w:lang w:eastAsia="ru-RU"/>
              </w:rPr>
              <w:t xml:space="preserve"> обучающихся как:</w:t>
            </w:r>
          </w:p>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сборка манипуляционных робототехнических механизмов, выполняющих различные практические задачи;</w:t>
            </w:r>
          </w:p>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изучение промышленного применения манипуляционных роботов;</w:t>
            </w:r>
          </w:p>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создание комплексных программ управления автоматическими или робототехническими устройствами при использовании универсальных программируемых контроллеров.</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1C6EC476" wp14:editId="1FBAA26C">
                      <wp:extent cx="123825" cy="123825"/>
                      <wp:effectExtent l="0" t="0" r="0" b="0"/>
                      <wp:docPr id="4" name="AutoShape 35" descr="https://fzakon.ru/images/463833_00000035.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84AA21" id="AutoShape 35" o:spid="_x0000_s1026" alt="https://fzakon.ru/images/463833_00000035.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BP71gIAAO0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607392AB" wp14:editId="155718D9">
                      <wp:extent cx="123825" cy="123825"/>
                      <wp:effectExtent l="0" t="0" r="0" b="0"/>
                      <wp:docPr id="3" name="AutoShape 36" descr="https://fzakon.ru/images/463833_00000036.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53C8A3" id="AutoShape 36" o:spid="_x0000_s1026" alt="https://fzakon.ru/images/463833_00000036.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r>
      <w:tr w:rsidR="005C045A" w:rsidRPr="005C045A" w:rsidTr="005C045A">
        <w:trPr>
          <w:trHeight w:val="5267"/>
        </w:trPr>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color w:val="000000"/>
                <w:sz w:val="28"/>
                <w:szCs w:val="28"/>
                <w:lang w:eastAsia="ru-RU"/>
              </w:rPr>
              <w:lastRenderedPageBreak/>
              <w:t>14.</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Тележка-хранилище но</w:t>
            </w:r>
            <w:bookmarkStart w:id="0" w:name="_GoBack"/>
            <w:bookmarkEnd w:id="0"/>
            <w:r w:rsidRPr="005C045A">
              <w:rPr>
                <w:rFonts w:ascii="Times New Roman" w:eastAsia="Times New Roman" w:hAnsi="Times New Roman" w:cs="Times New Roman"/>
                <w:color w:val="000000"/>
                <w:sz w:val="28"/>
                <w:szCs w:val="28"/>
                <w:lang w:eastAsia="ru-RU"/>
              </w:rPr>
              <w:t>утбуков</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Рекомендуется использование характеристик на основе КТРУ для кодов ОКПД2 26.20.15.170, 26.20.40.110.</w:t>
            </w:r>
          </w:p>
          <w:p w:rsidR="005C045A" w:rsidRPr="005C045A" w:rsidRDefault="005C045A" w:rsidP="005C045A">
            <w:pPr>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При формировании перечня характеристик рекомендуется учитывать фактическую потребность образовательных организаций.</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4CCEA5FA" wp14:editId="15B9A688">
                      <wp:extent cx="123825" cy="123825"/>
                      <wp:effectExtent l="0" t="0" r="0" b="0"/>
                      <wp:docPr id="2" name="AutoShape 37" descr="https://fzakon.ru/images/463833_00000037.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A91F26" id="AutoShape 37" o:spid="_x0000_s1026" alt="https://fzakon.ru/images/463833_00000037.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RQB1gIAAO0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rsidR="005C045A" w:rsidRPr="005C045A" w:rsidRDefault="005C045A" w:rsidP="005C045A">
            <w:pPr>
              <w:spacing w:before="240" w:after="240" w:line="240" w:lineRule="auto"/>
              <w:jc w:val="center"/>
              <w:rPr>
                <w:rFonts w:ascii="Times New Roman" w:eastAsia="Times New Roman" w:hAnsi="Times New Roman" w:cs="Times New Roman"/>
                <w:b/>
                <w:bCs/>
                <w:color w:val="000000"/>
                <w:sz w:val="28"/>
                <w:szCs w:val="28"/>
                <w:lang w:eastAsia="ru-RU"/>
              </w:rPr>
            </w:pPr>
            <w:r w:rsidRPr="005C045A">
              <w:rPr>
                <w:rFonts w:ascii="Times New Roman" w:eastAsia="Times New Roman" w:hAnsi="Times New Roman" w:cs="Times New Roman"/>
                <w:b/>
                <w:bCs/>
                <w:noProof/>
                <w:color w:val="000000"/>
                <w:sz w:val="28"/>
                <w:szCs w:val="28"/>
                <w:lang w:eastAsia="ru-RU"/>
              </w:rPr>
              <mc:AlternateContent>
                <mc:Choice Requires="wps">
                  <w:drawing>
                    <wp:inline distT="0" distB="0" distL="0" distR="0" wp14:anchorId="2EC24B54" wp14:editId="068C2CB6">
                      <wp:extent cx="123825" cy="123825"/>
                      <wp:effectExtent l="0" t="0" r="0" b="0"/>
                      <wp:docPr id="1" name="AutoShape 38" descr="https://fzakon.ru/images/463833_00000038.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567340" id="AutoShape 38" o:spid="_x0000_s1026" alt="https://fzakon.ru/images/463833_00000038.png"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" filled="f" stroked="f">
                      <o:lock v:ext="edit" aspectratio="t"/>
                      <w10:anchorlock/>
                    </v:rect>
                  </w:pict>
                </mc:Fallback>
              </mc:AlternateContent>
            </w:r>
            <w:r w:rsidRPr="005C045A">
              <w:rPr>
                <w:rFonts w:ascii="Times New Roman" w:eastAsia="Times New Roman" w:hAnsi="Times New Roman" w:cs="Times New Roman"/>
                <w:b/>
                <w:bCs/>
                <w:color w:val="000000"/>
                <w:sz w:val="28"/>
                <w:szCs w:val="28"/>
                <w:lang w:eastAsia="ru-RU"/>
              </w:rPr>
              <w:t> 1 шт.</w:t>
            </w:r>
          </w:p>
        </w:tc>
      </w:tr>
    </w:tbl>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&lt;7&gt; Устанавливается в соответствии с фактической потребностью с учетом контингента образовательных организаций.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&lt;8&gt; Устанавливается в соответствии с фактической потребностью с учетом контингента образовательных организаций.</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&lt;9&gt; Рекомендуется учитывать индивидуальные условия общеобразовательных организаций, в </w:t>
      </w:r>
      <w:proofErr w:type="spellStart"/>
      <w:r w:rsidRPr="005C045A">
        <w:rPr>
          <w:rFonts w:ascii="Times New Roman" w:eastAsia="Times New Roman" w:hAnsi="Times New Roman" w:cs="Times New Roman"/>
          <w:color w:val="000000"/>
          <w:sz w:val="28"/>
          <w:szCs w:val="28"/>
          <w:lang w:eastAsia="ru-RU"/>
        </w:rPr>
        <w:t>т.ч</w:t>
      </w:r>
      <w:proofErr w:type="spellEnd"/>
      <w:r w:rsidRPr="005C045A">
        <w:rPr>
          <w:rFonts w:ascii="Times New Roman" w:eastAsia="Times New Roman" w:hAnsi="Times New Roman" w:cs="Times New Roman"/>
          <w:color w:val="000000"/>
          <w:sz w:val="28"/>
          <w:szCs w:val="28"/>
          <w:lang w:eastAsia="ru-RU"/>
        </w:rPr>
        <w:t>. при необходимости объединять наборы для малокомплектных общеобразовательных организаций сразу по нескольким предметам, изучение которых проводится в единых кабинетах.</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&lt;10&gt; Рекомендуется учитывать индивидуальные условия общеобразовательных организаций, в </w:t>
      </w:r>
      <w:proofErr w:type="spellStart"/>
      <w:r w:rsidRPr="005C045A">
        <w:rPr>
          <w:rFonts w:ascii="Times New Roman" w:eastAsia="Times New Roman" w:hAnsi="Times New Roman" w:cs="Times New Roman"/>
          <w:color w:val="000000"/>
          <w:sz w:val="28"/>
          <w:szCs w:val="28"/>
          <w:lang w:eastAsia="ru-RU"/>
        </w:rPr>
        <w:t>т.ч</w:t>
      </w:r>
      <w:proofErr w:type="spellEnd"/>
      <w:r w:rsidRPr="005C045A">
        <w:rPr>
          <w:rFonts w:ascii="Times New Roman" w:eastAsia="Times New Roman" w:hAnsi="Times New Roman" w:cs="Times New Roman"/>
          <w:color w:val="000000"/>
          <w:sz w:val="28"/>
          <w:szCs w:val="28"/>
          <w:lang w:eastAsia="ru-RU"/>
        </w:rPr>
        <w:t>. при необходимости объединять наборы для малокомплектных общеобразовательных организаций сразу по нескольким предметам, изучение которых проводится в единых кабинетах.</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&lt;11&gt; Рекомендуется учитывать индивидуальные условия общеобразовательных организаций, в </w:t>
      </w:r>
      <w:proofErr w:type="spellStart"/>
      <w:r w:rsidRPr="005C045A">
        <w:rPr>
          <w:rFonts w:ascii="Times New Roman" w:eastAsia="Times New Roman" w:hAnsi="Times New Roman" w:cs="Times New Roman"/>
          <w:color w:val="000000"/>
          <w:sz w:val="28"/>
          <w:szCs w:val="28"/>
          <w:lang w:eastAsia="ru-RU"/>
        </w:rPr>
        <w:t>т.ч</w:t>
      </w:r>
      <w:proofErr w:type="spellEnd"/>
      <w:r w:rsidRPr="005C045A">
        <w:rPr>
          <w:rFonts w:ascii="Times New Roman" w:eastAsia="Times New Roman" w:hAnsi="Times New Roman" w:cs="Times New Roman"/>
          <w:color w:val="000000"/>
          <w:sz w:val="28"/>
          <w:szCs w:val="28"/>
          <w:lang w:eastAsia="ru-RU"/>
        </w:rPr>
        <w:t>. при необходимости объединять наборы для малокомплектных общеобразовательных организаций сразу по нескольким предметам, изучение которых проводится в единых кабинетах.</w:t>
      </w:r>
    </w:p>
    <w:p w:rsidR="005C045A" w:rsidRPr="005C045A" w:rsidRDefault="005C045A" w:rsidP="005C045A">
      <w:pPr>
        <w:shd w:val="clear" w:color="auto" w:fill="FFFFFF"/>
        <w:spacing w:before="240" w:after="240" w:line="240" w:lineRule="auto"/>
        <w:jc w:val="both"/>
        <w:rPr>
          <w:rFonts w:ascii="Times New Roman" w:eastAsia="Times New Roman" w:hAnsi="Times New Roman" w:cs="Times New Roman"/>
          <w:color w:val="000000"/>
          <w:sz w:val="28"/>
          <w:szCs w:val="28"/>
          <w:lang w:eastAsia="ru-RU"/>
        </w:rPr>
      </w:pPr>
      <w:r w:rsidRPr="005C045A">
        <w:rPr>
          <w:rFonts w:ascii="Times New Roman" w:eastAsia="Times New Roman" w:hAnsi="Times New Roman" w:cs="Times New Roman"/>
          <w:color w:val="000000"/>
          <w:sz w:val="28"/>
          <w:szCs w:val="28"/>
          <w:lang w:eastAsia="ru-RU"/>
        </w:rPr>
        <w:t xml:space="preserve">&lt;12&gt; Рекомендуется учитывать индивидуальные условия общеобразовательных организаций, в </w:t>
      </w:r>
      <w:proofErr w:type="spellStart"/>
      <w:r w:rsidRPr="005C045A">
        <w:rPr>
          <w:rFonts w:ascii="Times New Roman" w:eastAsia="Times New Roman" w:hAnsi="Times New Roman" w:cs="Times New Roman"/>
          <w:color w:val="000000"/>
          <w:sz w:val="28"/>
          <w:szCs w:val="28"/>
          <w:lang w:eastAsia="ru-RU"/>
        </w:rPr>
        <w:t>т.ч</w:t>
      </w:r>
      <w:proofErr w:type="spellEnd"/>
      <w:r w:rsidRPr="005C045A">
        <w:rPr>
          <w:rFonts w:ascii="Times New Roman" w:eastAsia="Times New Roman" w:hAnsi="Times New Roman" w:cs="Times New Roman"/>
          <w:color w:val="000000"/>
          <w:sz w:val="28"/>
          <w:szCs w:val="28"/>
          <w:lang w:eastAsia="ru-RU"/>
        </w:rPr>
        <w:t>. при необходимости объединять наборы для малокомплектных общеобразовательных организаций сразу по нескольким предметам, изучение которых проводится в единых кабинетах.</w:t>
      </w:r>
    </w:p>
    <w:p w:rsidR="00E31495" w:rsidRPr="005C045A" w:rsidRDefault="00E31495">
      <w:pPr>
        <w:rPr>
          <w:rFonts w:ascii="Times New Roman" w:hAnsi="Times New Roman" w:cs="Times New Roman"/>
          <w:sz w:val="28"/>
          <w:szCs w:val="28"/>
        </w:rPr>
      </w:pPr>
    </w:p>
    <w:sectPr w:rsidR="00E31495" w:rsidRPr="005C04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D03"/>
    <w:rsid w:val="004F7D03"/>
    <w:rsid w:val="005C045A"/>
    <w:rsid w:val="00E31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BE2609-302B-4620-9407-1B1CCC7E3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52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zakon.ru/dokumenty-ministerstv-i-vedomstv/rasporyazhenie-minprosvescheniya-rossii-ot-25.12.2019-n-r-145/" TargetMode="External"/><Relationship Id="rId13" Type="http://schemas.openxmlformats.org/officeDocument/2006/relationships/hyperlink" Target="https://fzakon.ru/postanovleniya-pravitelstva/postanovlenie-pravitelstva-rf-ot-16.09.2016-n-925/" TargetMode="External"/><Relationship Id="rId18" Type="http://schemas.openxmlformats.org/officeDocument/2006/relationships/hyperlink" Target="https://fzakon.ru/laws/federalnyy-zakon-ot-29.12.2012-n-273-fz/"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fzakon.ru/laws/federalnyy-zakon-ot-27.07.2006-n-152-fz/" TargetMode="External"/><Relationship Id="rId12" Type="http://schemas.openxmlformats.org/officeDocument/2006/relationships/hyperlink" Target="https://fzakon.ru/postanovleniya-pravitelstva/postanovlenie-pravitelstva-rf-ot-03.12.2020-n-2014/" TargetMode="External"/><Relationship Id="rId17" Type="http://schemas.openxmlformats.org/officeDocument/2006/relationships/hyperlink" Target="https://fzakon.ru/postanovleniya-pravitelstva/postanovlenie-pravitelstva-rf-ot-28.08.2021-n-1432/" TargetMode="External"/><Relationship Id="rId2" Type="http://schemas.openxmlformats.org/officeDocument/2006/relationships/settings" Target="settings.xml"/><Relationship Id="rId16" Type="http://schemas.openxmlformats.org/officeDocument/2006/relationships/hyperlink" Target="https://fzakon.ru/postanovleniya-pravitelstva/postanovlenie-pravitelstva-rf-ot-16.09.2016-n-925/"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fzakon.ru/laws/federalnyy-zakon-ot-27.07.2006-n-149-fz/" TargetMode="External"/><Relationship Id="rId11" Type="http://schemas.openxmlformats.org/officeDocument/2006/relationships/hyperlink" Target="https://fzakon.ru/postanovleniya-pravitelstva/postanovlenie-pravitelstva-rf-ot-03.12.2020-n-2013/" TargetMode="External"/><Relationship Id="rId5" Type="http://schemas.openxmlformats.org/officeDocument/2006/relationships/hyperlink" Target="https://fzakon.ru/laws/federalnyy-zakon-ot-29.12.2012-n-273-fz/" TargetMode="External"/><Relationship Id="rId15" Type="http://schemas.openxmlformats.org/officeDocument/2006/relationships/hyperlink" Target="https://fzakon.ru/postanovleniya-pravitelstva/postanovlenie-pravitelstva-rf-ot-10.07.2019-n-878/" TargetMode="External"/><Relationship Id="rId10" Type="http://schemas.openxmlformats.org/officeDocument/2006/relationships/hyperlink" Target="https://fzakon.ru/laws/federalnyy-zakon-ot-18.07.2011-n-223-fz/" TargetMode="External"/><Relationship Id="rId19" Type="http://schemas.openxmlformats.org/officeDocument/2006/relationships/hyperlink" Target="https://fzakon.ru/laws/federalnyy-zakon-ot-29.12.2012-n-273-fz/" TargetMode="External"/><Relationship Id="rId4" Type="http://schemas.openxmlformats.org/officeDocument/2006/relationships/hyperlink" Target="https://fzakon.ru/laws/federalnyy-zakon-ot-29.12.2012-n-273-fz/" TargetMode="External"/><Relationship Id="rId9" Type="http://schemas.openxmlformats.org/officeDocument/2006/relationships/hyperlink" Target="https://fzakon.ru/laws/federalnyy-zakon-ot-05.04.2013-n-44-fz/" TargetMode="External"/><Relationship Id="rId14" Type="http://schemas.openxmlformats.org/officeDocument/2006/relationships/hyperlink" Target="https://fzakon.ru/postanovleniya-pravitelstva/postanovlenie-pravitelstva-rf-ot-16.11.2015-n-12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11727</Words>
  <Characters>66845</Characters>
  <Application>Microsoft Office Word</Application>
  <DocSecurity>0</DocSecurity>
  <Lines>557</Lines>
  <Paragraphs>156</Paragraphs>
  <ScaleCrop>false</ScaleCrop>
  <Company/>
  <LinksUpToDate>false</LinksUpToDate>
  <CharactersWithSpaces>78416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3</cp:revision>
  <dcterms:created xsi:type="dcterms:W3CDTF">2024-09-13T09:34:00Z</dcterms:created>
  <dcterms:modified xsi:type="dcterms:W3CDTF">2024-09-13T09:36:00Z</dcterms:modified>
</cp:coreProperties>
</file>