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</w:pPr>
      <w:r w:rsidRPr="00E97025"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  <w:t>Краткое описание</w:t>
      </w:r>
      <w:r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  <w:t xml:space="preserve"> проекта «Шахматы в школе».</w:t>
      </w:r>
    </w:p>
    <w:p w:rsidR="00E97025" w:rsidRP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</w:pPr>
    </w:p>
    <w:p w:rsid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Проект направлен на формирование интеллектуально-нравственной культуры учащихся на основе </w:t>
      </w:r>
      <w:proofErr w:type="spell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 интеграции в единой системе основного и дополнительного образования. В отличие от других программ по обучению шахматам проект «Шахматы в школе» не направлен на воспитание профессиональных гроссмейстеров. Программа помогает всестороннему развитию личности, развитию у учащихся пространственного и системного мышления, навыков стратегического планирования, а также помогает повысить интеллект. </w:t>
      </w:r>
    </w:p>
    <w:p w:rsid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Реализация проекта «Шахматы в школе» включают в себя три компонента: подготовка преподавателей, внедрение программ шахматного образования и оснащение школ необходимым инвентарем - что подразумевает под собой отложенный положительный социальный эффект.</w:t>
      </w:r>
    </w:p>
    <w:p w:rsid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proofErr w:type="gram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Программа проекта предполагает создание в школах шахматных классов, оснащение классов всем необходимым инвентарем (комплекты шахмат с досками и часами, демонстрационные доски, учебники, рабочие тетради для 1- 4 годов обучения, методическое пособие и учебная программа.</w:t>
      </w:r>
      <w:proofErr w:type="gramEnd"/>
    </w:p>
    <w:p w:rsidR="00E97025" w:rsidRP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Программа мероприятий направлена на: создание прогрессивной методики преподавания шахмат в школе, обеспечение методическими пособиями, обеспечение инвентарем, проведение курсов повышения квалификации для педагогов (на основании гос. лицензии), организацию и проведение турниров среди школьников и их родителей. Реализация проекта также включает: ведение информационного портала о развитии проекта «Шахматы в школе» (на базе собственного одноименного </w:t>
      </w:r>
      <w:proofErr w:type="spell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web</w:t>
      </w:r>
      <w:proofErr w:type="spell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-сайта), пиар сопровождение проекта в федеральных, региональных и шахматных СМИ, а также ведение страницы проекта в социальной сети "</w:t>
      </w:r>
      <w:proofErr w:type="spell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".</w:t>
      </w:r>
    </w:p>
    <w:p w:rsidR="00E97025" w:rsidRP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-Caption" w:eastAsia="Times New Roman" w:hAnsi="PTSansPro-Caption" w:cs="Times New Roman"/>
          <w:color w:val="000000"/>
          <w:sz w:val="28"/>
          <w:szCs w:val="28"/>
          <w:lang w:eastAsia="ru-RU"/>
        </w:rPr>
        <w:t>Цели</w:t>
      </w:r>
    </w:p>
    <w:p w:rsidR="00E97025" w:rsidRPr="00E97025" w:rsidRDefault="00E97025" w:rsidP="00E9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Формирование интеллектуально-нравственной культуры учащихся на основе </w:t>
      </w:r>
      <w:proofErr w:type="spell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 интеграции в единой системе основного и дополнительного образования шахмат</w:t>
      </w:r>
    </w:p>
    <w:p w:rsidR="00E97025" w:rsidRP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-Caption" w:eastAsia="Times New Roman" w:hAnsi="PTSansPro-Caption" w:cs="Times New Roman"/>
          <w:color w:val="000000"/>
          <w:sz w:val="28"/>
          <w:szCs w:val="28"/>
          <w:lang w:eastAsia="ru-RU"/>
        </w:rPr>
        <w:t>Задачи</w:t>
      </w:r>
    </w:p>
    <w:p w:rsidR="00E97025" w:rsidRPr="00E97025" w:rsidRDefault="00E97025" w:rsidP="00E9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Внедрение образовательной программы "Шахматы в школе" в регионах реализации проекта</w:t>
      </w:r>
    </w:p>
    <w:p w:rsidR="00E97025" w:rsidRPr="00E97025" w:rsidRDefault="00E97025" w:rsidP="00E9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Повышение уровня и квалификации преподавательского состава, проводящего занятия по шахматам с </w:t>
      </w:r>
      <w:proofErr w:type="gram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 образовательных учреждений</w:t>
      </w:r>
    </w:p>
    <w:p w:rsidR="00E97025" w:rsidRPr="00E97025" w:rsidRDefault="00E97025" w:rsidP="00E9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Создание и оборудование шахматных классов в школах</w:t>
      </w:r>
    </w:p>
    <w:p w:rsidR="00E97025" w:rsidRPr="00E97025" w:rsidRDefault="00E97025" w:rsidP="00E9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lastRenderedPageBreak/>
        <w:t>Информационное сопровождение проекта и повышение интереса среди детей и молодежи к занятиям шахматами</w:t>
      </w:r>
    </w:p>
    <w:p w:rsidR="00E97025" w:rsidRPr="00E97025" w:rsidRDefault="00E97025" w:rsidP="00E9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Реализация программы шахматного всеобщего начального образования в школах регионов реализации проекта</w:t>
      </w:r>
    </w:p>
    <w:p w:rsid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</w:pPr>
      <w:r w:rsidRPr="00E97025"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  <w:t>Обоснование социальной значимости</w:t>
      </w:r>
      <w:r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  <w:t>.</w:t>
      </w:r>
    </w:p>
    <w:p w:rsidR="00E97025" w:rsidRP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</w:pPr>
    </w:p>
    <w:p w:rsid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Шахматы – одна из самых эффективных спортивных образовательных дисциплин, уникальный образовательный инструмент. Многие страны используют шахматы в школьной программе (Азербайджан, Армения, Венгрия, Испания, Мексика, Польша, Турция и др.).</w:t>
      </w:r>
    </w:p>
    <w:p w:rsidR="00E97025" w:rsidRDefault="00E97025" w:rsidP="00E97025">
      <w:pPr>
        <w:shd w:val="clear" w:color="auto" w:fill="FFFFFF"/>
        <w:spacing w:after="0" w:line="240" w:lineRule="auto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Педагоги и родители отмечают значительное положительное влияние шахмат на успеваемость школьников по всем предметам. Доказано, что изучение шахмат в любимой детьми игровой форме способствует формированию гармоничной личности и развивает: пространственное мышление, навыки стратегического планирования, выдержку, бойцовские качества, математические способности.</w:t>
      </w:r>
    </w:p>
    <w:p w:rsid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Реализация проекта "Шахматы в школе" предполагает продолжительный социальный эффект.</w:t>
      </w:r>
    </w:p>
    <w:p w:rsid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proofErr w:type="spell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Благополучателями</w:t>
      </w:r>
      <w:proofErr w:type="spell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 от реализации проекта, по примерным оценкам, являются 3200 человек (ученики младших классов, преподаватели). </w:t>
      </w:r>
    </w:p>
    <w:p w:rsidR="00E97025" w:rsidRPr="00E97025" w:rsidRDefault="00E97025" w:rsidP="00E97025">
      <w:pPr>
        <w:shd w:val="clear" w:color="auto" w:fill="FFFFFF"/>
        <w:spacing w:after="0" w:line="240" w:lineRule="auto"/>
        <w:ind w:firstLine="708"/>
        <w:jc w:val="both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Проект имеет перспективу отложенного положительного социального эффекта, благоприятным образом влияет на развитие учеников младших классов, а учитывая дороговизну и порой недоступность дополнительного детского образования - обеспечивает всеобщую доступность к образованию и позиционирует возможность развития и роста интеллекта ребенка как </w:t>
      </w:r>
      <w:proofErr w:type="spellStart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безбарьерное</w:t>
      </w:r>
      <w:proofErr w:type="spellEnd"/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 xml:space="preserve"> социальное благо.</w:t>
      </w:r>
    </w:p>
    <w:p w:rsidR="00E97025" w:rsidRPr="00E97025" w:rsidRDefault="00E97025" w:rsidP="00E97025">
      <w:pPr>
        <w:shd w:val="clear" w:color="auto" w:fill="FFFFFF"/>
        <w:spacing w:after="0" w:line="570" w:lineRule="atLeast"/>
        <w:jc w:val="center"/>
        <w:outlineLvl w:val="1"/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</w:pPr>
      <w:r w:rsidRPr="00E97025"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  <w:t>Целевые группы</w:t>
      </w:r>
      <w:r>
        <w:rPr>
          <w:rFonts w:ascii="PTSansPro-Caption" w:eastAsia="Times New Roman" w:hAnsi="PTSansPro-Caption" w:cs="Times New Roman"/>
          <w:b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E97025" w:rsidRPr="00E97025" w:rsidRDefault="00E97025" w:rsidP="00E970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</w:pPr>
      <w:r w:rsidRPr="00E97025">
        <w:rPr>
          <w:rFonts w:ascii="PTSansPro" w:eastAsia="Times New Roman" w:hAnsi="PTSansPro" w:cs="Times New Roman"/>
          <w:color w:val="000000"/>
          <w:sz w:val="28"/>
          <w:szCs w:val="28"/>
          <w:lang w:eastAsia="ru-RU"/>
        </w:rPr>
        <w:t>Дети и подростки</w:t>
      </w:r>
    </w:p>
    <w:p w:rsidR="00FF195E" w:rsidRPr="00E97025" w:rsidRDefault="00FF195E">
      <w:pPr>
        <w:rPr>
          <w:sz w:val="28"/>
          <w:szCs w:val="28"/>
        </w:rPr>
      </w:pPr>
    </w:p>
    <w:sectPr w:rsidR="00FF195E" w:rsidRPr="00E9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Pro-Caption">
    <w:altName w:val="Times New Roman"/>
    <w:panose1 w:val="00000000000000000000"/>
    <w:charset w:val="00"/>
    <w:family w:val="roman"/>
    <w:notTrueType/>
    <w:pitch w:val="default"/>
  </w:font>
  <w:font w:name="PT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3C18"/>
    <w:multiLevelType w:val="multilevel"/>
    <w:tmpl w:val="3854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A3491"/>
    <w:multiLevelType w:val="multilevel"/>
    <w:tmpl w:val="C7D6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416C1"/>
    <w:multiLevelType w:val="multilevel"/>
    <w:tmpl w:val="5744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B0"/>
    <w:rsid w:val="009D33B0"/>
    <w:rsid w:val="00E97025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7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0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7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0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2</cp:revision>
  <dcterms:created xsi:type="dcterms:W3CDTF">2019-10-07T08:10:00Z</dcterms:created>
  <dcterms:modified xsi:type="dcterms:W3CDTF">2019-10-07T08:14:00Z</dcterms:modified>
</cp:coreProperties>
</file>