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67" w:rsidRDefault="00C92B67" w:rsidP="00C92B67">
      <w:pPr>
        <w:pStyle w:val="a3"/>
        <w:spacing w:after="195" w:afterAutospacing="0"/>
        <w:rPr>
          <w:sz w:val="28"/>
          <w:szCs w:val="28"/>
        </w:rPr>
      </w:pPr>
    </w:p>
    <w:p w:rsidR="00C92B67" w:rsidRPr="00C92B67" w:rsidRDefault="00C92B67" w:rsidP="00C92B67">
      <w:pPr>
        <w:pStyle w:val="a3"/>
        <w:spacing w:after="195" w:afterAutospacing="0"/>
        <w:jc w:val="center"/>
        <w:rPr>
          <w:b/>
          <w:sz w:val="28"/>
          <w:szCs w:val="28"/>
        </w:rPr>
      </w:pPr>
      <w:r w:rsidRPr="00C92B67">
        <w:rPr>
          <w:b/>
          <w:sz w:val="28"/>
          <w:szCs w:val="28"/>
        </w:rPr>
        <w:t xml:space="preserve">Отчет о работе экспериментальной площадки ФИРО </w:t>
      </w:r>
      <w:proofErr w:type="spellStart"/>
      <w:r w:rsidRPr="00C92B67">
        <w:rPr>
          <w:b/>
          <w:sz w:val="28"/>
          <w:szCs w:val="28"/>
        </w:rPr>
        <w:t>РАНХиГС</w:t>
      </w:r>
      <w:proofErr w:type="spellEnd"/>
      <w:r w:rsidRPr="00C92B67">
        <w:rPr>
          <w:b/>
          <w:sz w:val="28"/>
          <w:szCs w:val="28"/>
        </w:rPr>
        <w:t xml:space="preserve"> (промежуточный)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Тема экспериментальной работы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"Проектирование мотивирующих образовательных сред в учреждениях</w:t>
      </w:r>
      <w:bookmarkStart w:id="0" w:name="_GoBack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дополнительного образования для детей, оказавшихся в трудной жизненной ситуации"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 Научный руководитель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Ирина Николаевна Попова - кандидат педагогических наук, доцент, заместитель руководителя Центра социализации, воспитания и неформального образования ФГАУ ФИРО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Цель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Опираясь на формирование рефлексивных компетенций, способствовать развитию ресурсов проектирования успешного будущего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Задачи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- Расширение использования потенциала системы дополнительного образования в рамках создания модели мотивирующих образовательных сред для развития, социализации и коррекции поведения детей и подростков, находящихся в трудной жизненной ситуации;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 - Создать условия для формирования рефлексивных компетенций подростков;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- Создать мотивирующую образовательную среду для раскрытия ресурсов личности подростка; - Посредством реализации комплексной программы обучения создать условия для грамотного выбора будущей специальности;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- Создание системы мониторинга результатов деятельности по реализации 30 проекта.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ОСНОВНЫЕ РЕЗУЛЬТАТЫ РАБОТЫ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Реализация образовательно-воспитательного блока модели мотивирующей образовательной среды для детей, находящихся в ТЖС.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- Проведен семинар - совещание с представителями КДН, социального приюта для детей и подростков "</w:t>
      </w:r>
      <w:proofErr w:type="spellStart"/>
      <w:r>
        <w:rPr>
          <w:sz w:val="28"/>
          <w:szCs w:val="28"/>
        </w:rPr>
        <w:t>Изгелек</w:t>
      </w:r>
      <w:proofErr w:type="spellEnd"/>
      <w:r>
        <w:rPr>
          <w:sz w:val="28"/>
          <w:szCs w:val="28"/>
        </w:rPr>
        <w:t xml:space="preserve">", отделения реабилитации детей и подростков с ограниченными возможностями здоровья "Радуга" по теме: </w:t>
      </w:r>
      <w:r>
        <w:rPr>
          <w:sz w:val="28"/>
          <w:szCs w:val="28"/>
        </w:rPr>
        <w:lastRenderedPageBreak/>
        <w:t>"Выявление путей и средств организации образовательного процесса в учреждении дополнительного образования, способствующих формированию самостоятельно – мыслящей нравственной личности с собственной жизненной позицией, способной к самоопределению и самореализации"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 - Организация участия педагогов ДО, работающих по экспериментальной программе "Мир твоих возможностей" и научных сотрудников БГПУ им.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 и ГАУ ДПО ИРО РБ в круглом столе по теме "Психолого-педагогические условия реализации проектной деятельности в образовательной организации".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- Проведение с 01.06.2020 по 12.06.2020 г. онлайн - смены «</w:t>
      </w:r>
      <w:proofErr w:type="spellStart"/>
      <w:r>
        <w:rPr>
          <w:sz w:val="28"/>
          <w:szCs w:val="28"/>
        </w:rPr>
        <w:t>Юнитайм</w:t>
      </w:r>
      <w:proofErr w:type="spellEnd"/>
      <w:r>
        <w:rPr>
          <w:sz w:val="28"/>
          <w:szCs w:val="28"/>
        </w:rPr>
        <w:t xml:space="preserve">» </w:t>
      </w:r>
      <w:hyperlink r:id="rId5" w:tgtFrame="_blank" w:history="1">
        <w:r>
          <w:rPr>
            <w:rStyle w:val="a4"/>
            <w:sz w:val="28"/>
            <w:szCs w:val="28"/>
          </w:rPr>
          <w:t>https://vk.com/unitime_okt</w:t>
        </w:r>
      </w:hyperlink>
      <w:r>
        <w:rPr>
          <w:sz w:val="28"/>
          <w:szCs w:val="28"/>
        </w:rPr>
        <w:t xml:space="preserve">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Мониторинг результатов реализации комплексной дополнительной общеобразовательной программы «Мир твоих возможностей» для детей, находящихся в ТЖС: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- Участие Первого отдельного юнармейского полка имени генерал-майора </w:t>
      </w:r>
      <w:proofErr w:type="spellStart"/>
      <w:r>
        <w:rPr>
          <w:sz w:val="28"/>
          <w:szCs w:val="28"/>
        </w:rPr>
        <w:t>Минигали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Шаймуратова</w:t>
      </w:r>
      <w:proofErr w:type="spellEnd"/>
      <w:r>
        <w:rPr>
          <w:sz w:val="28"/>
          <w:szCs w:val="28"/>
        </w:rPr>
        <w:t xml:space="preserve"> в Едином дне ПДД и профилактической акции «Внимание: дети!» </w:t>
      </w:r>
      <w:hyperlink r:id="rId6" w:tgtFrame="_blank" w:history="1">
        <w:r>
          <w:rPr>
            <w:rStyle w:val="a4"/>
            <w:sz w:val="28"/>
            <w:szCs w:val="28"/>
          </w:rPr>
          <w:t>https://vk.com/public197454237?w=wall-197454237_130</w:t>
        </w:r>
      </w:hyperlink>
      <w:r>
        <w:rPr>
          <w:sz w:val="28"/>
          <w:szCs w:val="28"/>
        </w:rPr>
        <w:t xml:space="preserve">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- Торжественная церемония принятия присяги кадетами. </w:t>
      </w:r>
      <w:hyperlink r:id="rId7" w:tgtFrame="_blank" w:history="1">
        <w:r>
          <w:rPr>
            <w:rStyle w:val="a4"/>
            <w:sz w:val="28"/>
            <w:szCs w:val="28"/>
          </w:rPr>
          <w:t>https://vk.com/public197454237?w=wall-197454237_122</w:t>
        </w:r>
      </w:hyperlink>
      <w:r>
        <w:rPr>
          <w:sz w:val="28"/>
          <w:szCs w:val="28"/>
        </w:rPr>
        <w:t xml:space="preserve">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- Проведение мероприятия - церемонии возложения цветов к памятнику "Думы солдата", посвященного Дню Неизвестного солдата (кадеты профильных кадетских классов Следственного комитета и МЧС России Первого отдельного юнармейского полка имени генерал-майора М. </w:t>
      </w:r>
      <w:proofErr w:type="spellStart"/>
      <w:r>
        <w:rPr>
          <w:sz w:val="28"/>
          <w:szCs w:val="28"/>
        </w:rPr>
        <w:t>Шаймуратова</w:t>
      </w:r>
      <w:proofErr w:type="spellEnd"/>
      <w:r>
        <w:rPr>
          <w:sz w:val="28"/>
          <w:szCs w:val="28"/>
        </w:rPr>
        <w:t xml:space="preserve">) </w:t>
      </w:r>
      <w:hyperlink r:id="rId8" w:tgtFrame="_blank" w:history="1">
        <w:r>
          <w:rPr>
            <w:rStyle w:val="a4"/>
            <w:sz w:val="28"/>
            <w:szCs w:val="28"/>
          </w:rPr>
          <w:t>https://vk.com/okt_unost?w=wall86112068_811%2Fall</w:t>
        </w:r>
      </w:hyperlink>
      <w:r>
        <w:rPr>
          <w:sz w:val="28"/>
          <w:szCs w:val="28"/>
        </w:rPr>
        <w:t xml:space="preserve"> </w:t>
      </w:r>
    </w:p>
    <w:p w:rsidR="00C92B67" w:rsidRDefault="00C92B67" w:rsidP="00C92B67">
      <w:pPr>
        <w:pStyle w:val="a3"/>
        <w:spacing w:after="195" w:afterAutospacing="0"/>
      </w:pPr>
      <w:proofErr w:type="gramStart"/>
      <w:r>
        <w:rPr>
          <w:sz w:val="28"/>
          <w:szCs w:val="28"/>
        </w:rPr>
        <w:t>- Торжественная акция, посвящённая «Дню государственного флага Российской Федерации», в котором приняли участие участники местного отделения ВВПОД "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" ГО г. Октябрьский РБ и кадеты межведомственного кадетского класса Следственного комитета РФ «Первого отдельного юнармейского полка имени генерал – майора М. </w:t>
      </w:r>
      <w:proofErr w:type="spellStart"/>
      <w:r>
        <w:rPr>
          <w:sz w:val="28"/>
          <w:szCs w:val="28"/>
        </w:rPr>
        <w:t>Шаймуратова</w:t>
      </w:r>
      <w:proofErr w:type="spellEnd"/>
      <w:r>
        <w:rPr>
          <w:sz w:val="28"/>
          <w:szCs w:val="28"/>
        </w:rPr>
        <w:t>»  </w:t>
      </w:r>
      <w:hyperlink r:id="rId9" w:tgtFrame="_blank" w:history="1">
        <w:r>
          <w:rPr>
            <w:rStyle w:val="a4"/>
            <w:sz w:val="28"/>
            <w:szCs w:val="28"/>
          </w:rPr>
          <w:t>http://www.oktadm.ru/news/detail.php?id=43109&amp;sphrase_i%20d=3513290 </w:t>
        </w:r>
      </w:hyperlink>
      <w:proofErr w:type="gramEnd"/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 - Участие детей ВПК "Юнармеец" в акции «День добра и уважения» 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Создание условий для позитивной социализации детей, находящихся в ТЖС путем вовлечения в культурно-массовые и досуговые мероприятия, деятельность объединений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В рамках эксперимента с детьми и родителями </w:t>
      </w: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: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lastRenderedPageBreak/>
        <w:t>- Дни открытых дверей, открытые занятия, мастер-классы и онлайн-родительские собрания,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 - Проведен фестиваль детского творчества "Радуга талантов" для детей, находящихся в трудной жизненной ситуации, посвященный Году семьи и 10-летию детства в России.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 - Проведено родительское собрание «Консолидация городского сообщества в интересах детства».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- Проведение мастер- классов, уроков технологии в Детском технопарке по направлению «</w:t>
      </w:r>
      <w:proofErr w:type="spellStart"/>
      <w:r>
        <w:rPr>
          <w:sz w:val="28"/>
          <w:szCs w:val="28"/>
        </w:rPr>
        <w:t>Электропрофи</w:t>
      </w:r>
      <w:proofErr w:type="spellEnd"/>
      <w:r>
        <w:rPr>
          <w:sz w:val="28"/>
          <w:szCs w:val="28"/>
        </w:rPr>
        <w:t xml:space="preserve">», с целью получения профессиональных навыков и дополнительной социальной практики.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 xml:space="preserve">ОБЩИЕ ВЫВОДЫ О РЕЗУЛЬТАТАХ РАБОТЫ </w:t>
      </w:r>
    </w:p>
    <w:p w:rsidR="00C92B67" w:rsidRDefault="00C92B67" w:rsidP="00C92B67">
      <w:pPr>
        <w:pStyle w:val="a3"/>
        <w:spacing w:after="195" w:afterAutospacing="0"/>
      </w:pPr>
      <w:r>
        <w:rPr>
          <w:sz w:val="28"/>
          <w:szCs w:val="28"/>
        </w:rPr>
        <w:t>В рамках создания модели мотивирующих сред определен контингент обучающихся подросткового возраста, потенциальных участников проекта - детей с ОВЗ и находящихся в ТЖС. Реализация комплексной программы "Мир твоих возможностей" для детей, находящихся в ТЖС, для детей с ОВЗ в течение учебного года - на базе МБУ ДО "</w:t>
      </w:r>
      <w:proofErr w:type="spellStart"/>
      <w:r>
        <w:rPr>
          <w:sz w:val="28"/>
          <w:szCs w:val="28"/>
        </w:rPr>
        <w:t>ДДиЮТ</w:t>
      </w:r>
      <w:proofErr w:type="spellEnd"/>
      <w:r>
        <w:rPr>
          <w:sz w:val="28"/>
          <w:szCs w:val="28"/>
        </w:rPr>
        <w:t>". Программа разработана по 6 направленностям, которые варьируются в зависимости от контингента, запроса родителей и условий реализации. Педагоги в разработанных учебных модулях включают большой набор различных ресурсов, глоссариев, анкет, тестов, лекций. На первом этапе эксперимента основной формой проведения мониторинга было анкетирование детей и родителей с целью выявления мотивационных предпочтений обучающихся в образовательной деятельности. Особенностью МБУ ДО "</w:t>
      </w:r>
      <w:proofErr w:type="spellStart"/>
      <w:r>
        <w:rPr>
          <w:sz w:val="28"/>
          <w:szCs w:val="28"/>
        </w:rPr>
        <w:t>ДДиЮТ</w:t>
      </w:r>
      <w:proofErr w:type="spellEnd"/>
      <w:r>
        <w:rPr>
          <w:sz w:val="28"/>
          <w:szCs w:val="28"/>
        </w:rPr>
        <w:t>" в режиме эксперимента является то, что коллектив имеет опыт работы по разработке и внедрению электронного обучения и дистанционных технологий в образовательный процесс. Одним из направлений Программы развития Дворца является оснащение образовательных программ электронными образовательными ресурсами, в том числе создание электронных учебно-методических комплексов. В целом, основная идея эксперимента – это учитывать возможности и интересы каждого обучающегося, т.е. оказать помощь в выработке индивидуальной образовательной траектории, ориентированной на эффективное сочетание различных форм обучения, активно реализуется в учреждении.</w:t>
      </w:r>
    </w:p>
    <w:p w:rsidR="00901D51" w:rsidRDefault="00901D51"/>
    <w:sectPr w:rsidR="0090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67"/>
    <w:rsid w:val="00901D51"/>
    <w:rsid w:val="00C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kt_unost?w=wall86112068_811%2F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7454237?w=wall-197454237_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197454237?w=wall-197454237_1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unitime_ok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tadm.ru/news/detail.php?id=43109&amp;sphrase_i%20d=3513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2022-03-02T21:09:00Z</dcterms:created>
  <dcterms:modified xsi:type="dcterms:W3CDTF">2022-03-02T21:10:00Z</dcterms:modified>
</cp:coreProperties>
</file>