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firstLine="0"/>
        <w:jc w:val="center"/>
        <w:spacing w:line="240" w:lineRule="auto"/>
        <w:tabs>
          <w:tab w:val="left" w:pos="6401" w:leader="none"/>
        </w:tabs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47910" cy="482713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93928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047909" cy="48271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97.47pt;height:380.09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</w:p>
    <w:p>
      <w:pPr>
        <w:ind w:left="0" w:firstLine="0"/>
        <w:jc w:val="center"/>
        <w:spacing w:line="240" w:lineRule="auto"/>
        <w:tabs>
          <w:tab w:val="left" w:pos="6401" w:leader="none"/>
        </w:tabs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Руководитель Вологодского Росреестра ответил на актуальные вопросы недвижимости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</w:p>
    <w:p>
      <w:pPr>
        <w:ind w:left="0" w:firstLine="0"/>
        <w:jc w:val="both"/>
        <w:spacing w:line="240" w:lineRule="auto"/>
        <w:tabs>
          <w:tab w:val="left" w:pos="6401" w:leader="none"/>
        </w:tabs>
        <w:rPr>
          <w:rFonts w:ascii="PT Astra Serif" w:hAnsi="PT Astra Serif" w:eastAsia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      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</w:p>
    <w:p>
      <w:pPr>
        <w:ind w:left="0" w:firstLine="0"/>
        <w:jc w:val="both"/>
        <w:spacing w:line="240" w:lineRule="auto"/>
        <w:tabs>
          <w:tab w:val="left" w:pos="6401" w:leader="none"/>
        </w:tabs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       В Управление Росреестра по Вологодской области поступают множество вопросов от вологжан в сфере оборота объектов недвижимости. На самые актуальные из них отвечает руководитель Управления Росреестра по Вологодской области 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Дмитрий Тулин.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/>
    </w:p>
    <w:p>
      <w:pPr>
        <w:ind w:left="0" w:firstLine="0"/>
        <w:jc w:val="both"/>
        <w:spacing w:after="0" w:afterAutospacing="0" w:line="240" w:lineRule="auto"/>
        <w:tabs>
          <w:tab w:val="left" w:pos="6401" w:leader="none"/>
        </w:tabs>
        <w:rPr>
          <w:rFonts w:ascii="PT Astra Serif" w:hAnsi="PT Astra Serif" w:eastAsia="PT Astra Serif" w:cs="PT Astra Serif"/>
          <w:b/>
          <w:bCs/>
          <w:sz w:val="28"/>
          <w:szCs w:val="28"/>
        </w:rPr>
      </w:pPr>
      <w:r>
        <w:rPr>
          <w:rFonts w:ascii="PT Astra Serif" w:hAnsi="PT Astra Serif" w:eastAsia="PT Astra Serif" w:cs="PT Astra Serif"/>
          <w:sz w:val="28"/>
          <w:szCs w:val="28"/>
        </w:rPr>
        <w:t xml:space="preserve">         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1. У меня есть овощехранилище в кооперативе, могу ли я оформить под ним земельный участок по «гаражной амнистии»?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</w:r>
    </w:p>
    <w:p>
      <w:pPr>
        <w:ind w:left="0" w:right="0" w:firstLine="540"/>
        <w:jc w:val="both"/>
        <w:spacing w:before="0" w:after="0" w:afterAutospacing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«Гаражная ам</w:t>
      </w:r>
      <w:r>
        <w:rPr>
          <w:rFonts w:ascii="Times New Roman" w:hAnsi="Times New Roman" w:cs="Times New Roman"/>
          <w:sz w:val="28"/>
          <w:szCs w:val="28"/>
        </w:rPr>
        <w:t xml:space="preserve">нистия» распространяется на объекты гаражного назначения, возведенные до 30.12.2004. Речь идет как об объектах капитального строительства, так и о гаражах некапитального типа, которые находятся в гаражно-строительных кооперативах и гаражных товариществах.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right="0" w:firstLine="540"/>
        <w:jc w:val="both"/>
        <w:spacing w:before="0" w:after="0" w:afterAutospacing="0" w:line="288" w:lineRule="atLeast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Законом введено понятие гаража </w:t>
      </w:r>
      <w:r>
        <w:rPr>
          <w:rFonts w:ascii="Times New Roman" w:hAnsi="Times New Roman" w:cs="Times New Roman"/>
          <w:sz w:val="28"/>
          <w:szCs w:val="28"/>
        </w:rPr>
        <w:t xml:space="preserve">- это нежилое здание, предназначенное исключительно для х</w:t>
      </w:r>
      <w:r>
        <w:rPr>
          <w:rFonts w:ascii="Times New Roman" w:hAnsi="Times New Roman" w:cs="Times New Roman"/>
          <w:sz w:val="28"/>
          <w:szCs w:val="28"/>
        </w:rPr>
        <w:t xml:space="preserve">ранения транспортных сре</w:t>
      </w:r>
      <w:r>
        <w:rPr>
          <w:rFonts w:ascii="Times New Roman" w:hAnsi="Times New Roman" w:cs="Times New Roman"/>
          <w:sz w:val="28"/>
          <w:szCs w:val="28"/>
        </w:rPr>
        <w:t xml:space="preserve">дств.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Гаражи могут быть </w:t>
      </w:r>
      <w:r>
        <w:rPr>
          <w:rFonts w:ascii="Times New Roman" w:hAnsi="Times New Roman" w:cs="Times New Roman"/>
          <w:sz w:val="28"/>
          <w:szCs w:val="28"/>
        </w:rPr>
        <w:t xml:space="preserve">блокированы общими стенами с другими гаражами в одном ряду, иметь общие с ними крышу, фундамент и коммуникации либо быть отдельно стоящими объектами капитального строительства.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ind w:left="0" w:right="0" w:firstLine="540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Таким образом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«гаражная амнистия» не применяется по </w:t>
      </w:r>
      <w:r>
        <w:rPr>
          <w:rFonts w:ascii="Times New Roman" w:hAnsi="Times New Roman" w:cs="Times New Roman"/>
          <w:sz w:val="28"/>
          <w:szCs w:val="28"/>
        </w:rPr>
        <w:t xml:space="preserve"> отношению к овощехранилищам, сараям и иным </w:t>
      </w:r>
      <w:r>
        <w:rPr>
          <w:rFonts w:ascii="Times New Roman" w:hAnsi="Times New Roman" w:cs="Times New Roman"/>
          <w:sz w:val="28"/>
          <w:szCs w:val="28"/>
        </w:rPr>
        <w:t xml:space="preserve">хозпостройкам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right="0" w:firstLine="540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Овощехранилища, если </w:t>
      </w:r>
      <w:r>
        <w:rPr>
          <w:rFonts w:ascii="Times New Roman" w:hAnsi="Times New Roman" w:cs="Times New Roman"/>
          <w:sz w:val="28"/>
          <w:szCs w:val="28"/>
        </w:rPr>
        <w:t xml:space="preserve">они блокированы общими стенами с другими овощехранилищами в одном ряду, имеют общую с ними крышу, фундамент, являются помещениями. Согласно действующему законодательству формирование земельного участка под помещением не допускается. 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right="0" w:firstLine="540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В данном случае, если земельный участок, на котором расположено здание с овощехранилищами сформирован, то возможно оформление арендных отношений с собственником такого земельного участка.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firstLine="0"/>
        <w:jc w:val="both"/>
        <w:spacing w:after="0" w:afterAutospacing="0" w:line="240" w:lineRule="auto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        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2. Необходимо ли нотариальное удостоверение договора купли-продажи  доли в праве собственности на квартиру, заключенного в рамках исполнительного производства через торги (арестованного имущества), где со стороны продавца выступает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 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Территориальное управление Федерального агентства по управлен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ию государственным имуществом в Вологодской области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? 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14:ligatures w14:val="none"/>
        </w:rPr>
      </w:r>
    </w:p>
    <w:p>
      <w:pPr>
        <w:ind w:left="0" w:right="0" w:firstLine="708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- Нотариальное удостоверение  при заключении сделки с долями в праве общей долевой собственности</w:t>
      </w:r>
      <w:r>
        <w:rPr>
          <w:rFonts w:ascii="Times New Roman" w:hAnsi="Times New Roman" w:cs="Times New Roman"/>
          <w:sz w:val="28"/>
          <w:szCs w:val="28"/>
        </w:rPr>
        <w:t xml:space="preserve"> в рамк</w:t>
      </w:r>
      <w:r>
        <w:rPr>
          <w:rFonts w:ascii="Times New Roman" w:hAnsi="Times New Roman" w:cs="Times New Roman"/>
          <w:sz w:val="28"/>
          <w:szCs w:val="28"/>
        </w:rPr>
        <w:t xml:space="preserve">ах исполнительного производства </w:t>
      </w:r>
      <w:r>
        <w:rPr>
          <w:rFonts w:ascii="Times New Roman" w:hAnsi="Times New Roman" w:cs="Times New Roman"/>
          <w:sz w:val="28"/>
          <w:szCs w:val="28"/>
        </w:rPr>
        <w:t xml:space="preserve">необходимо.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пунктом 3 статьи 163</w:t>
      </w:r>
      <w:r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Федерации (ГК РФ), если нотариальное удостоверение сделки в соответствии с законом или соглашением сторон является обязательным, несоблюдение нотариальной формы сделки влечет ее ничтожность.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Пункт 1 статьи 42</w:t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 «О государственной регистрации недвижимости»  содержит требование о нотариальной форме для сделок по отчуждению или договоров ипотеки в отношении долей в праве общ</w:t>
      </w:r>
      <w:r>
        <w:rPr>
          <w:rFonts w:ascii="Times New Roman" w:hAnsi="Times New Roman" w:cs="Times New Roman"/>
          <w:sz w:val="28"/>
          <w:szCs w:val="28"/>
        </w:rPr>
        <w:t xml:space="preserve">ей собственности на недвижимое имущество.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Федеральный </w:t>
      </w:r>
      <w:r>
        <w:rPr>
          <w:rFonts w:ascii="Times New Roman" w:hAnsi="Times New Roman" w:cs="Times New Roman"/>
          <w:sz w:val="28"/>
          <w:szCs w:val="28"/>
        </w:rPr>
        <w:t xml:space="preserve">закон</w:t>
      </w:r>
      <w:r>
        <w:rPr>
          <w:rFonts w:ascii="Times New Roman" w:hAnsi="Times New Roman" w:cs="Times New Roman"/>
          <w:sz w:val="28"/>
          <w:szCs w:val="28"/>
        </w:rPr>
        <w:t xml:space="preserve"> «Об исполнительном производстве» регулирует порядок обращения взыскания на имущество должника, но при этом не содержит специальных норм, которыми устанавливались бы иные требования к форме сделки или иные последствия ее нес</w:t>
      </w:r>
      <w:r>
        <w:rPr>
          <w:rFonts w:ascii="Times New Roman" w:hAnsi="Times New Roman" w:cs="Times New Roman"/>
          <w:sz w:val="28"/>
          <w:szCs w:val="28"/>
        </w:rPr>
        <w:t xml:space="preserve">облюдения по сравнению с тем, как соответствующие правила закреплены в ГК РФ и в приведенной норме </w:t>
      </w:r>
      <w:r>
        <w:rPr>
          <w:rFonts w:ascii="Times New Roman" w:hAnsi="Times New Roman" w:cs="Times New Roman"/>
          <w:sz w:val="28"/>
          <w:szCs w:val="28"/>
        </w:rPr>
        <w:t xml:space="preserve">Закона</w:t>
      </w:r>
      <w:r>
        <w:rPr>
          <w:rFonts w:ascii="Times New Roman" w:hAnsi="Times New Roman" w:cs="Times New Roman"/>
          <w:sz w:val="28"/>
          <w:szCs w:val="28"/>
        </w:rPr>
        <w:t xml:space="preserve"> о регистрации недвижимости.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С учетом изложенного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необходимость нотариального удостоверения сделки при отчуждении долей в праве общей долевой собственно</w:t>
      </w:r>
      <w:r>
        <w:rPr>
          <w:rFonts w:ascii="Times New Roman" w:hAnsi="Times New Roman" w:cs="Times New Roman"/>
          <w:sz w:val="28"/>
          <w:szCs w:val="28"/>
        </w:rPr>
        <w:t xml:space="preserve">сти в рамках  исполнительного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напрямую зависит от соблюдения требований положений указанных выше норм закона</w:t>
      </w:r>
      <w:r>
        <w:rPr>
          <w:rFonts w:ascii="Times New Roman" w:hAnsi="Times New Roman" w:cs="Times New Roman"/>
          <w:sz w:val="28"/>
          <w:szCs w:val="28"/>
        </w:rPr>
        <w:t xml:space="preserve">, а не от участия в сделке публичного органа (Территориального управления Федерального агентства по управлен</w:t>
      </w:r>
      <w:r>
        <w:rPr>
          <w:rFonts w:ascii="Times New Roman" w:hAnsi="Times New Roman" w:cs="Times New Roman"/>
          <w:sz w:val="28"/>
          <w:szCs w:val="28"/>
        </w:rPr>
        <w:t xml:space="preserve">ию государственным имуществом в 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отсутствие </w:t>
      </w:r>
      <w:r>
        <w:rPr>
          <w:rFonts w:ascii="Times New Roman" w:hAnsi="Times New Roman" w:cs="Times New Roman"/>
          <w:sz w:val="28"/>
          <w:szCs w:val="28"/>
        </w:rPr>
        <w:t xml:space="preserve">нотариального удостоверения сделки при отчуждении долей в праве общей долевой собственности в рамках  исполнительного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является препятствием для осуществления госу</w:t>
      </w:r>
      <w:r>
        <w:rPr>
          <w:rFonts w:ascii="Times New Roman" w:hAnsi="Times New Roman" w:cs="Times New Roman"/>
          <w:sz w:val="28"/>
          <w:szCs w:val="28"/>
        </w:rPr>
        <w:t xml:space="preserve">дар</w:t>
      </w:r>
      <w:r>
        <w:rPr>
          <w:rFonts w:ascii="Times New Roman" w:hAnsi="Times New Roman" w:cs="Times New Roman"/>
          <w:sz w:val="28"/>
          <w:szCs w:val="28"/>
        </w:rPr>
        <w:t xml:space="preserve">стве</w:t>
      </w:r>
      <w:r>
        <w:rPr>
          <w:rFonts w:ascii="Times New Roman" w:hAnsi="Times New Roman" w:cs="Times New Roman"/>
          <w:sz w:val="28"/>
          <w:szCs w:val="28"/>
        </w:rPr>
        <w:t xml:space="preserve">нной регистрации прав.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b/>
          <w:bCs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Собираюсь подарить свой гараж сыну. Как оформить документы?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14:ligatures w14:val="none"/>
        </w:rPr>
      </w:r>
      <w:r>
        <w:rPr>
          <w:rFonts w:ascii="Times New Roman" w:hAnsi="Times New Roman" w:cs="Times New Roman"/>
          <w:b/>
          <w:bCs/>
          <w:sz w:val="28"/>
          <w:szCs w:val="28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- С 13.01.2025 договор дарения недвижимого имущества, заключенный между гражданами, подлежит нотариальному удостоверению (</w:t>
      </w:r>
      <w:r>
        <w:rPr>
          <w:rFonts w:ascii="Times New Roman" w:hAnsi="Times New Roman" w:cs="Times New Roman"/>
          <w:sz w:val="28"/>
          <w:szCs w:val="28"/>
        </w:rPr>
        <w:t xml:space="preserve">пункт 3 статьи 574</w:t>
      </w:r>
      <w:r>
        <w:rPr>
          <w:rFonts w:ascii="Times New Roman" w:hAnsi="Times New Roman" w:cs="Times New Roman"/>
          <w:sz w:val="28"/>
          <w:szCs w:val="28"/>
        </w:rPr>
        <w:t xml:space="preserve"> ГК РФ). 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Таким об</w:t>
      </w:r>
      <w:r>
        <w:rPr>
          <w:rFonts w:ascii="Times New Roman" w:hAnsi="Times New Roman" w:cs="Times New Roman"/>
          <w:sz w:val="28"/>
          <w:szCs w:val="28"/>
        </w:rPr>
        <w:t xml:space="preserve">разом, для оформления договора дарения Вам необходимо обратиться к нотариусу. </w:t>
      </w:r>
      <w:r>
        <w:rPr>
          <w:rFonts w:ascii="Times New Roman" w:hAnsi="Times New Roman" w:cs="Times New Roman"/>
          <w:sz w:val="28"/>
          <w:szCs w:val="28"/>
        </w:rPr>
        <w:t xml:space="preserve">Заявление о государственной регистрации прав на основании нотариально удостоверенного договора и прилагаемые к нему </w:t>
      </w:r>
      <w:r>
        <w:rPr>
          <w:rFonts w:ascii="Times New Roman" w:hAnsi="Times New Roman" w:cs="Times New Roman"/>
          <w:sz w:val="28"/>
          <w:szCs w:val="28"/>
        </w:rPr>
        <w:t xml:space="preserve">документы представляются в орган регистрации прав также нотариусом.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Проведенная государственная регистрация удостоверяется выпиской из ЕГРН.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В случае, если гараж отчуждается вместе с земельным участком, на котором он расположен, и у земельного участка не установлены границы, то перед оформлением сделки по дарению необходимо провести межевание земельного участка.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b/>
          <w:bCs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Нужно ли регистрировать договор найма жилого помещения?</w:t>
      </w:r>
      <w:r>
        <w:rPr>
          <w:rFonts w:ascii="Times New Roman" w:hAnsi="Times New Roman" w:cs="Times New Roman"/>
          <w:b/>
          <w:bCs/>
          <w:sz w:val="28"/>
          <w:szCs w:val="28"/>
          <w14:ligatures w14:val="none"/>
        </w:rPr>
      </w:r>
      <w:r>
        <w:rPr>
          <w:rFonts w:ascii="Times New Roman" w:hAnsi="Times New Roman" w:cs="Times New Roman"/>
          <w:b/>
          <w:bCs/>
          <w:sz w:val="28"/>
          <w:szCs w:val="28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- По общему правилу если жилье сдается гражданину, то заключается договор найма жилого помеще</w:t>
      </w:r>
      <w:r>
        <w:rPr>
          <w:rFonts w:ascii="Times New Roman" w:hAnsi="Times New Roman" w:cs="Times New Roman"/>
          <w:sz w:val="28"/>
          <w:szCs w:val="28"/>
        </w:rPr>
        <w:t xml:space="preserve">ния. Юридическое лицо (организация) не может получи</w:t>
      </w:r>
      <w:r>
        <w:rPr>
          <w:rFonts w:ascii="Times New Roman" w:hAnsi="Times New Roman" w:cs="Times New Roman"/>
          <w:sz w:val="28"/>
          <w:szCs w:val="28"/>
        </w:rPr>
        <w:t xml:space="preserve">ть жилое помещение во временное владение и (или) пользование по договору найма, и в этом случае должен</w:t>
      </w:r>
      <w:r>
        <w:rPr>
          <w:rFonts w:ascii="Times New Roman" w:hAnsi="Times New Roman" w:cs="Times New Roman"/>
          <w:sz w:val="28"/>
          <w:szCs w:val="28"/>
        </w:rPr>
        <w:t xml:space="preserve"> заключаться договор аренды либо иной договор.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Государственной регистрации подлежит ограничение (обременение) права собственности на жилое помещение, возникающее на основании договора найма, заключенного на срок не менее года. Заявл</w:t>
      </w:r>
      <w:r>
        <w:rPr>
          <w:rFonts w:ascii="Times New Roman" w:hAnsi="Times New Roman" w:cs="Times New Roman"/>
          <w:sz w:val="28"/>
          <w:szCs w:val="28"/>
        </w:rPr>
        <w:t xml:space="preserve">ение о регистрации ограничения (обременения) права собственности подается в регистрирующий </w:t>
      </w:r>
      <w:r>
        <w:rPr>
          <w:rFonts w:ascii="Times New Roman" w:hAnsi="Times New Roman" w:cs="Times New Roman"/>
          <w:sz w:val="28"/>
          <w:szCs w:val="28"/>
        </w:rPr>
        <w:t xml:space="preserve">орган через офисы МФЦ, не позднее чем через месяц со дня заключения договора.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b/>
          <w:bCs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Ввиду ветхости жилого дома его снесли. Как снять его с кадастрового учета и прекратить право собственности?</w:t>
      </w:r>
      <w:r>
        <w:rPr>
          <w:rFonts w:ascii="Times New Roman" w:hAnsi="Times New Roman" w:cs="Times New Roman"/>
          <w:b/>
          <w:bCs/>
          <w:sz w:val="28"/>
          <w:szCs w:val="28"/>
          <w14:ligatures w14:val="none"/>
        </w:rPr>
      </w:r>
      <w:r>
        <w:rPr>
          <w:rFonts w:ascii="Times New Roman" w:hAnsi="Times New Roman" w:cs="Times New Roman"/>
          <w:b/>
          <w:bCs/>
          <w:sz w:val="28"/>
          <w:szCs w:val="28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Для подтверждения отсутствия жилого дома необходимо составить акт обследования - </w:t>
      </w:r>
      <w:r>
        <w:rPr>
          <w:rFonts w:ascii="Times New Roman" w:hAnsi="Times New Roman" w:cs="Times New Roman"/>
          <w:sz w:val="28"/>
          <w:szCs w:val="28"/>
        </w:rPr>
        <w:t xml:space="preserve">документ, который подтверждает </w:t>
      </w:r>
      <w:r>
        <w:rPr>
          <w:rFonts w:ascii="Times New Roman" w:hAnsi="Times New Roman" w:cs="Times New Roman"/>
          <w:sz w:val="28"/>
          <w:szCs w:val="28"/>
        </w:rPr>
        <w:t xml:space="preserve">физическое или юридическое прекращение существования данного объекта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В рассматриваемом случае данный документ будет являться основанием для снятия жилого дома с кадастрового учета и удаления сведений о нем из Единого государственного реестра недвижимости (ЕГРН).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Для составления акта обследования необходимо обратиться к кадастровому инженеру.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Подготовленный акт обследования вместе с соответствующим заявлением направляется в Управление через офис МФЦ для снятия объекта с учета и прекращения права собственности. 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br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0" w:right="0" w:firstLine="709"/>
        <w:jc w:val="both"/>
        <w:spacing w:before="0" w:after="0" w:line="288" w:lineRule="atLeast"/>
        <w:rPr>
          <w:rStyle w:val="816"/>
          <w:rFonts w:ascii="Times New Roman" w:hAnsi="Times New Roman" w:eastAsia="Times New Roman" w:cs="Times New Roman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0" w:right="0" w:firstLine="709"/>
        <w:jc w:val="both"/>
        <w:spacing w:before="0" w:after="0" w:line="288" w:lineRule="atLeast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</w:pPr>
      <w:r>
        <w:t xml:space="preserve">Контакты для СМИ:</w:t>
      </w:r>
      <w:r/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</w:p>
    <w:p>
      <w:pPr>
        <w:spacing w:after="0" w:line="240" w:lineRule="auto"/>
      </w:pPr>
      <w:r>
        <w:t xml:space="preserve">(8172) 72 86 11, доб. 1045</w:t>
      </w:r>
      <w:r/>
    </w:p>
    <w:p>
      <w:pPr>
        <w:spacing w:after="0" w:line="240" w:lineRule="auto"/>
      </w:pPr>
      <w:r/>
      <w:hyperlink r:id="rId10" w:tooltip="mailto:press@r35.rosreestr.ru" w:history="1">
        <w:r>
          <w:rPr>
            <w:rStyle w:val="816"/>
            <w:lang w:val="en-US"/>
          </w:rPr>
          <w:t xml:space="preserve">press</w:t>
        </w:r>
        <w:r>
          <w:rPr>
            <w:rStyle w:val="816"/>
          </w:rPr>
          <w:t xml:space="preserve">@</w:t>
        </w:r>
        <w:r>
          <w:rPr>
            <w:rStyle w:val="816"/>
            <w:lang w:val="en-US"/>
          </w:rPr>
          <w:t xml:space="preserve">r</w:t>
        </w:r>
        <w:r>
          <w:rPr>
            <w:rStyle w:val="816"/>
          </w:rPr>
          <w:t xml:space="preserve">35.</w:t>
        </w:r>
        <w:r>
          <w:rPr>
            <w:rStyle w:val="816"/>
            <w:lang w:val="en-US"/>
          </w:rPr>
          <w:t xml:space="preserve">rosreestr</w:t>
        </w:r>
        <w:r>
          <w:rPr>
            <w:rStyle w:val="816"/>
          </w:rPr>
          <w:t xml:space="preserve">.</w:t>
        </w:r>
        <w:r>
          <w:rPr>
            <w:rStyle w:val="816"/>
            <w:lang w:val="en-US"/>
          </w:rPr>
          <w:t xml:space="preserve">ru</w:t>
        </w:r>
      </w:hyperlink>
      <w:r/>
      <w:r/>
    </w:p>
    <w:p>
      <w:pPr>
        <w:spacing w:after="0" w:line="240" w:lineRule="auto"/>
      </w:pPr>
      <w:r>
        <w:t xml:space="preserve">160001, г. Вологда, ул. Челюскинцев, д.3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sectPr>
      <w:footnotePr/>
      <w:endnotePr/>
      <w:type w:val="nextPage"/>
      <w:pgSz w:w="11906" w:h="16838" w:orient="portrait"/>
      <w:pgMar w:top="709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10000000000000000"/>
  </w:font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8">
    <w:name w:val="Heading 1"/>
    <w:basedOn w:val="834"/>
    <w:next w:val="834"/>
    <w:link w:val="65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9">
    <w:name w:val="Heading 1 Char"/>
    <w:link w:val="658"/>
    <w:uiPriority w:val="9"/>
    <w:rPr>
      <w:rFonts w:ascii="Arial" w:hAnsi="Arial" w:eastAsia="Arial" w:cs="Arial"/>
      <w:sz w:val="40"/>
      <w:szCs w:val="40"/>
    </w:rPr>
  </w:style>
  <w:style w:type="paragraph" w:styleId="660">
    <w:name w:val="Heading 2"/>
    <w:basedOn w:val="834"/>
    <w:next w:val="834"/>
    <w:link w:val="66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1">
    <w:name w:val="Heading 2 Char"/>
    <w:link w:val="660"/>
    <w:uiPriority w:val="9"/>
    <w:rPr>
      <w:rFonts w:ascii="Arial" w:hAnsi="Arial" w:eastAsia="Arial" w:cs="Arial"/>
      <w:sz w:val="34"/>
    </w:rPr>
  </w:style>
  <w:style w:type="paragraph" w:styleId="662">
    <w:name w:val="Heading 3"/>
    <w:basedOn w:val="834"/>
    <w:next w:val="834"/>
    <w:link w:val="66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3">
    <w:name w:val="Heading 3 Char"/>
    <w:link w:val="662"/>
    <w:uiPriority w:val="9"/>
    <w:rPr>
      <w:rFonts w:ascii="Arial" w:hAnsi="Arial" w:eastAsia="Arial" w:cs="Arial"/>
      <w:sz w:val="30"/>
      <w:szCs w:val="30"/>
    </w:rPr>
  </w:style>
  <w:style w:type="paragraph" w:styleId="664">
    <w:name w:val="Heading 4"/>
    <w:basedOn w:val="834"/>
    <w:next w:val="834"/>
    <w:link w:val="66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5">
    <w:name w:val="Heading 4 Char"/>
    <w:link w:val="664"/>
    <w:uiPriority w:val="9"/>
    <w:rPr>
      <w:rFonts w:ascii="Arial" w:hAnsi="Arial" w:eastAsia="Arial" w:cs="Arial"/>
      <w:b/>
      <w:bCs/>
      <w:sz w:val="26"/>
      <w:szCs w:val="26"/>
    </w:rPr>
  </w:style>
  <w:style w:type="paragraph" w:styleId="666">
    <w:name w:val="Heading 5"/>
    <w:basedOn w:val="834"/>
    <w:next w:val="834"/>
    <w:link w:val="66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7">
    <w:name w:val="Heading 5 Char"/>
    <w:link w:val="666"/>
    <w:uiPriority w:val="9"/>
    <w:rPr>
      <w:rFonts w:ascii="Arial" w:hAnsi="Arial" w:eastAsia="Arial" w:cs="Arial"/>
      <w:b/>
      <w:bCs/>
      <w:sz w:val="24"/>
      <w:szCs w:val="24"/>
    </w:rPr>
  </w:style>
  <w:style w:type="paragraph" w:styleId="668">
    <w:name w:val="Heading 6"/>
    <w:basedOn w:val="834"/>
    <w:next w:val="834"/>
    <w:link w:val="66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9">
    <w:name w:val="Heading 6 Char"/>
    <w:link w:val="668"/>
    <w:uiPriority w:val="9"/>
    <w:rPr>
      <w:rFonts w:ascii="Arial" w:hAnsi="Arial" w:eastAsia="Arial" w:cs="Arial"/>
      <w:b/>
      <w:bCs/>
      <w:sz w:val="22"/>
      <w:szCs w:val="22"/>
    </w:rPr>
  </w:style>
  <w:style w:type="paragraph" w:styleId="670">
    <w:name w:val="Heading 7"/>
    <w:basedOn w:val="834"/>
    <w:next w:val="834"/>
    <w:link w:val="67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1">
    <w:name w:val="Heading 7 Char"/>
    <w:link w:val="67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2">
    <w:name w:val="Heading 8"/>
    <w:basedOn w:val="834"/>
    <w:next w:val="834"/>
    <w:link w:val="67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3">
    <w:name w:val="Heading 8 Char"/>
    <w:link w:val="672"/>
    <w:uiPriority w:val="9"/>
    <w:rPr>
      <w:rFonts w:ascii="Arial" w:hAnsi="Arial" w:eastAsia="Arial" w:cs="Arial"/>
      <w:i/>
      <w:iCs/>
      <w:sz w:val="22"/>
      <w:szCs w:val="22"/>
    </w:rPr>
  </w:style>
  <w:style w:type="paragraph" w:styleId="674">
    <w:name w:val="Heading 9"/>
    <w:basedOn w:val="834"/>
    <w:next w:val="834"/>
    <w:link w:val="67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5">
    <w:name w:val="Heading 9 Char"/>
    <w:link w:val="674"/>
    <w:uiPriority w:val="9"/>
    <w:rPr>
      <w:rFonts w:ascii="Arial" w:hAnsi="Arial" w:eastAsia="Arial" w:cs="Arial"/>
      <w:i/>
      <w:iCs/>
      <w:sz w:val="21"/>
      <w:szCs w:val="21"/>
    </w:rPr>
  </w:style>
  <w:style w:type="paragraph" w:styleId="676">
    <w:name w:val="Title"/>
    <w:basedOn w:val="834"/>
    <w:next w:val="834"/>
    <w:link w:val="67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7">
    <w:name w:val="Title Char"/>
    <w:link w:val="676"/>
    <w:uiPriority w:val="10"/>
    <w:rPr>
      <w:sz w:val="48"/>
      <w:szCs w:val="48"/>
    </w:rPr>
  </w:style>
  <w:style w:type="paragraph" w:styleId="678">
    <w:name w:val="Subtitle"/>
    <w:basedOn w:val="834"/>
    <w:next w:val="834"/>
    <w:link w:val="679"/>
    <w:uiPriority w:val="11"/>
    <w:qFormat/>
    <w:pPr>
      <w:spacing w:before="200" w:after="200"/>
    </w:pPr>
    <w:rPr>
      <w:sz w:val="24"/>
      <w:szCs w:val="24"/>
    </w:rPr>
  </w:style>
  <w:style w:type="character" w:styleId="679">
    <w:name w:val="Subtitle Char"/>
    <w:link w:val="678"/>
    <w:uiPriority w:val="11"/>
    <w:rPr>
      <w:sz w:val="24"/>
      <w:szCs w:val="24"/>
    </w:rPr>
  </w:style>
  <w:style w:type="paragraph" w:styleId="680">
    <w:name w:val="Quote"/>
    <w:basedOn w:val="834"/>
    <w:next w:val="834"/>
    <w:link w:val="681"/>
    <w:uiPriority w:val="29"/>
    <w:qFormat/>
    <w:pPr>
      <w:ind w:left="720" w:right="720"/>
    </w:pPr>
    <w:rPr>
      <w:i/>
    </w:rPr>
  </w:style>
  <w:style w:type="character" w:styleId="681">
    <w:name w:val="Quote Char"/>
    <w:link w:val="680"/>
    <w:uiPriority w:val="29"/>
    <w:rPr>
      <w:i/>
    </w:rPr>
  </w:style>
  <w:style w:type="paragraph" w:styleId="682">
    <w:name w:val="Intense Quote"/>
    <w:basedOn w:val="834"/>
    <w:next w:val="834"/>
    <w:link w:val="68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3">
    <w:name w:val="Intense Quote Char"/>
    <w:link w:val="682"/>
    <w:uiPriority w:val="30"/>
    <w:rPr>
      <w:i/>
    </w:rPr>
  </w:style>
  <w:style w:type="paragraph" w:styleId="684">
    <w:name w:val="Header"/>
    <w:basedOn w:val="834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Header Char"/>
    <w:link w:val="684"/>
    <w:uiPriority w:val="99"/>
  </w:style>
  <w:style w:type="paragraph" w:styleId="686">
    <w:name w:val="Footer"/>
    <w:basedOn w:val="834"/>
    <w:link w:val="68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7">
    <w:name w:val="Footer Char"/>
    <w:link w:val="686"/>
    <w:uiPriority w:val="99"/>
  </w:style>
  <w:style w:type="paragraph" w:styleId="688">
    <w:name w:val="Caption"/>
    <w:basedOn w:val="834"/>
    <w:next w:val="83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9">
    <w:name w:val="Caption Char"/>
    <w:basedOn w:val="688"/>
    <w:link w:val="686"/>
    <w:uiPriority w:val="99"/>
  </w:style>
  <w:style w:type="table" w:styleId="690">
    <w:name w:val="Table Grid"/>
    <w:basedOn w:val="83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1">
    <w:name w:val="Table Grid Light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2">
    <w:name w:val="Plain Table 1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3">
    <w:name w:val="Plain Table 2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4">
    <w:name w:val="Plain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5">
    <w:name w:val="Plain Table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Plain Table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7">
    <w:name w:val="Grid Table 1 Light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4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9">
    <w:name w:val="Grid Table 4 - Accent 1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0">
    <w:name w:val="Grid Table 4 - Accent 2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1">
    <w:name w:val="Grid Table 4 - Accent 3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2">
    <w:name w:val="Grid Table 4 - Accent 4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3">
    <w:name w:val="Grid Table 4 - Accent 5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4">
    <w:name w:val="Grid Table 4 - Accent 6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5">
    <w:name w:val="Grid Table 5 Dark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6">
    <w:name w:val="Grid Table 5 Dark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9">
    <w:name w:val="Grid Table 5 Dark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30">
    <w:name w:val="Grid Table 5 Dark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31">
    <w:name w:val="Grid Table 5 Dark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2">
    <w:name w:val="Grid Table 6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3">
    <w:name w:val="Grid Table 6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4">
    <w:name w:val="Grid Table 6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5">
    <w:name w:val="Grid Table 6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6">
    <w:name w:val="Grid Table 6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7">
    <w:name w:val="Grid Table 6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8">
    <w:name w:val="Grid Table 6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9">
    <w:name w:val="Grid Table 7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4">
    <w:name w:val="List Table 2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5">
    <w:name w:val="List Table 2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6">
    <w:name w:val="List Table 2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7">
    <w:name w:val="List Table 2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8">
    <w:name w:val="List Table 2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9">
    <w:name w:val="List Table 2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0">
    <w:name w:val="List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5 Dark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6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2">
    <w:name w:val="List Table 6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3">
    <w:name w:val="List Table 6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4">
    <w:name w:val="List Table 6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5">
    <w:name w:val="List Table 6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6">
    <w:name w:val="List Table 6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7">
    <w:name w:val="List Table 6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8">
    <w:name w:val="List Table 7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9">
    <w:name w:val="List Table 7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0">
    <w:name w:val="List Table 7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1">
    <w:name w:val="List Table 7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2">
    <w:name w:val="List Table 7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3">
    <w:name w:val="List Table 7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4">
    <w:name w:val="List Table 7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5">
    <w:name w:val="Lined - Accent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6">
    <w:name w:val="Lined - Accent 1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7">
    <w:name w:val="Lined - Accent 2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8">
    <w:name w:val="Lined - Accent 3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9">
    <w:name w:val="Lined - Accent 4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0">
    <w:name w:val="Lined - Accent 5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1">
    <w:name w:val="Lined - Accent 6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2">
    <w:name w:val="Bordered &amp; Lined - Accent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3">
    <w:name w:val="Bordered &amp; Lined - Accent 1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4">
    <w:name w:val="Bordered &amp; Lined - Accent 2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5">
    <w:name w:val="Bordered &amp; Lined - Accent 3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6">
    <w:name w:val="Bordered &amp; Lined - Accent 4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7">
    <w:name w:val="Bordered &amp; Lined - Accent 5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8">
    <w:name w:val="Bordered &amp; Lined - Accent 6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9">
    <w:name w:val="Bordered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0">
    <w:name w:val="Bordered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1">
    <w:name w:val="Bordered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2">
    <w:name w:val="Bordered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3">
    <w:name w:val="Bordered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4">
    <w:name w:val="Bordered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5">
    <w:name w:val="Bordered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6">
    <w:name w:val="Hyperlink"/>
    <w:uiPriority w:val="99"/>
    <w:unhideWhenUsed/>
    <w:rPr>
      <w:color w:val="0000ff" w:themeColor="hyperlink"/>
      <w:u w:val="single"/>
    </w:rPr>
  </w:style>
  <w:style w:type="paragraph" w:styleId="817">
    <w:name w:val="footnote text"/>
    <w:basedOn w:val="834"/>
    <w:link w:val="818"/>
    <w:uiPriority w:val="99"/>
    <w:semiHidden/>
    <w:unhideWhenUsed/>
    <w:pPr>
      <w:spacing w:after="40" w:line="240" w:lineRule="auto"/>
    </w:pPr>
    <w:rPr>
      <w:sz w:val="18"/>
    </w:rPr>
  </w:style>
  <w:style w:type="character" w:styleId="818">
    <w:name w:val="Footnote Text Char"/>
    <w:link w:val="817"/>
    <w:uiPriority w:val="99"/>
    <w:rPr>
      <w:sz w:val="18"/>
    </w:rPr>
  </w:style>
  <w:style w:type="character" w:styleId="819">
    <w:name w:val="footnote reference"/>
    <w:uiPriority w:val="99"/>
    <w:unhideWhenUsed/>
    <w:rPr>
      <w:vertAlign w:val="superscript"/>
    </w:rPr>
  </w:style>
  <w:style w:type="paragraph" w:styleId="820">
    <w:name w:val="endnote text"/>
    <w:basedOn w:val="834"/>
    <w:link w:val="821"/>
    <w:uiPriority w:val="99"/>
    <w:semiHidden/>
    <w:unhideWhenUsed/>
    <w:pPr>
      <w:spacing w:after="0" w:line="240" w:lineRule="auto"/>
    </w:pPr>
    <w:rPr>
      <w:sz w:val="20"/>
    </w:rPr>
  </w:style>
  <w:style w:type="character" w:styleId="821">
    <w:name w:val="Endnote Text Char"/>
    <w:link w:val="820"/>
    <w:uiPriority w:val="99"/>
    <w:rPr>
      <w:sz w:val="20"/>
    </w:rPr>
  </w:style>
  <w:style w:type="character" w:styleId="822">
    <w:name w:val="endnote reference"/>
    <w:uiPriority w:val="99"/>
    <w:semiHidden/>
    <w:unhideWhenUsed/>
    <w:rPr>
      <w:vertAlign w:val="superscript"/>
    </w:rPr>
  </w:style>
  <w:style w:type="paragraph" w:styleId="823">
    <w:name w:val="toc 1"/>
    <w:basedOn w:val="834"/>
    <w:next w:val="834"/>
    <w:uiPriority w:val="39"/>
    <w:unhideWhenUsed/>
    <w:pPr>
      <w:ind w:left="0" w:right="0" w:firstLine="0"/>
      <w:spacing w:after="57"/>
    </w:pPr>
  </w:style>
  <w:style w:type="paragraph" w:styleId="824">
    <w:name w:val="toc 2"/>
    <w:basedOn w:val="834"/>
    <w:next w:val="834"/>
    <w:uiPriority w:val="39"/>
    <w:unhideWhenUsed/>
    <w:pPr>
      <w:ind w:left="283" w:right="0" w:firstLine="0"/>
      <w:spacing w:after="57"/>
    </w:pPr>
  </w:style>
  <w:style w:type="paragraph" w:styleId="825">
    <w:name w:val="toc 3"/>
    <w:basedOn w:val="834"/>
    <w:next w:val="834"/>
    <w:uiPriority w:val="39"/>
    <w:unhideWhenUsed/>
    <w:pPr>
      <w:ind w:left="567" w:right="0" w:firstLine="0"/>
      <w:spacing w:after="57"/>
    </w:pPr>
  </w:style>
  <w:style w:type="paragraph" w:styleId="826">
    <w:name w:val="toc 4"/>
    <w:basedOn w:val="834"/>
    <w:next w:val="834"/>
    <w:uiPriority w:val="39"/>
    <w:unhideWhenUsed/>
    <w:pPr>
      <w:ind w:left="850" w:right="0" w:firstLine="0"/>
      <w:spacing w:after="57"/>
    </w:pPr>
  </w:style>
  <w:style w:type="paragraph" w:styleId="827">
    <w:name w:val="toc 5"/>
    <w:basedOn w:val="834"/>
    <w:next w:val="834"/>
    <w:uiPriority w:val="39"/>
    <w:unhideWhenUsed/>
    <w:pPr>
      <w:ind w:left="1134" w:right="0" w:firstLine="0"/>
      <w:spacing w:after="57"/>
    </w:pPr>
  </w:style>
  <w:style w:type="paragraph" w:styleId="828">
    <w:name w:val="toc 6"/>
    <w:basedOn w:val="834"/>
    <w:next w:val="834"/>
    <w:uiPriority w:val="39"/>
    <w:unhideWhenUsed/>
    <w:pPr>
      <w:ind w:left="1417" w:right="0" w:firstLine="0"/>
      <w:spacing w:after="57"/>
    </w:pPr>
  </w:style>
  <w:style w:type="paragraph" w:styleId="829">
    <w:name w:val="toc 7"/>
    <w:basedOn w:val="834"/>
    <w:next w:val="834"/>
    <w:uiPriority w:val="39"/>
    <w:unhideWhenUsed/>
    <w:pPr>
      <w:ind w:left="1701" w:right="0" w:firstLine="0"/>
      <w:spacing w:after="57"/>
    </w:pPr>
  </w:style>
  <w:style w:type="paragraph" w:styleId="830">
    <w:name w:val="toc 8"/>
    <w:basedOn w:val="834"/>
    <w:next w:val="834"/>
    <w:uiPriority w:val="39"/>
    <w:unhideWhenUsed/>
    <w:pPr>
      <w:ind w:left="1984" w:right="0" w:firstLine="0"/>
      <w:spacing w:after="57"/>
    </w:pPr>
  </w:style>
  <w:style w:type="paragraph" w:styleId="831">
    <w:name w:val="toc 9"/>
    <w:basedOn w:val="834"/>
    <w:next w:val="834"/>
    <w:uiPriority w:val="39"/>
    <w:unhideWhenUsed/>
    <w:pPr>
      <w:ind w:left="2268" w:right="0" w:firstLine="0"/>
      <w:spacing w:after="57"/>
    </w:pPr>
  </w:style>
  <w:style w:type="paragraph" w:styleId="832">
    <w:name w:val="TOC Heading"/>
    <w:uiPriority w:val="39"/>
    <w:unhideWhenUsed/>
  </w:style>
  <w:style w:type="paragraph" w:styleId="833">
    <w:name w:val="table of figures"/>
    <w:basedOn w:val="834"/>
    <w:next w:val="834"/>
    <w:uiPriority w:val="99"/>
    <w:unhideWhenUsed/>
    <w:pPr>
      <w:spacing w:after="0" w:afterAutospacing="0"/>
    </w:pPr>
  </w:style>
  <w:style w:type="paragraph" w:styleId="834" w:default="1">
    <w:name w:val="Normal"/>
    <w:qFormat/>
  </w:style>
  <w:style w:type="table" w:styleId="83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6" w:default="1">
    <w:name w:val="No List"/>
    <w:uiPriority w:val="99"/>
    <w:semiHidden/>
    <w:unhideWhenUsed/>
  </w:style>
  <w:style w:type="paragraph" w:styleId="837">
    <w:name w:val="No Spacing"/>
    <w:basedOn w:val="834"/>
    <w:uiPriority w:val="1"/>
    <w:qFormat/>
    <w:pPr>
      <w:spacing w:after="0" w:line="240" w:lineRule="auto"/>
    </w:pPr>
  </w:style>
  <w:style w:type="paragraph" w:styleId="838">
    <w:name w:val="List Paragraph"/>
    <w:basedOn w:val="834"/>
    <w:uiPriority w:val="34"/>
    <w:qFormat/>
    <w:pPr>
      <w:contextualSpacing/>
      <w:ind w:left="720"/>
    </w:pPr>
  </w:style>
  <w:style w:type="character" w:styleId="839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10</cp:revision>
  <dcterms:modified xsi:type="dcterms:W3CDTF">2025-12-26T10:42:12Z</dcterms:modified>
</cp:coreProperties>
</file>