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Tinos" w:hAnsi="Tinos" w:eastAsia="Tinos" w:cs="Tinos"/>
          <w:b/>
          <w:bCs/>
          <w:color w:val="000000"/>
          <w:sz w:val="28"/>
          <w:szCs w:val="28"/>
          <w:highlight w:val="none"/>
        </w:rPr>
      </w:pPr>
      <w:r>
        <w:rPr>
          <w:rFonts w:ascii="Tinos" w:hAnsi="Tinos" w:eastAsia="Tinos" w:cs="Tinos"/>
          <w:b/>
          <w:bCs/>
          <w:color w:val="000000"/>
          <w:sz w:val="28"/>
          <w:szCs w:val="28"/>
          <w:highlight w:val="none"/>
          <w:shd w:val="clear" w:color="auto" w:fill="ffffff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12140" cy="551214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926728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5512140" cy="5512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34.03pt;height:434.03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Tinos" w:hAnsi="Tinos" w:eastAsia="Tinos" w:cs="Tinos"/>
          <w:b/>
          <w:bCs/>
          <w:color w:val="000000"/>
          <w:sz w:val="28"/>
          <w:szCs w:val="28"/>
          <w:highlight w:val="none"/>
          <w:shd w:val="clear" w:color="auto" w:fill="ffffff"/>
        </w:rPr>
      </w:r>
      <w:r>
        <w:rPr>
          <w:rFonts w:ascii="Tinos" w:hAnsi="Tinos" w:eastAsia="Tinos" w:cs="Tinos"/>
          <w:b/>
          <w:bCs/>
          <w:color w:val="000000"/>
          <w:sz w:val="28"/>
          <w:szCs w:val="28"/>
          <w:highlight w:val="none"/>
        </w:rPr>
      </w:r>
    </w:p>
    <w:p>
      <w:pPr>
        <w:jc w:val="center"/>
        <w:rPr>
          <w:rFonts w:ascii="Tinos" w:hAnsi="Tinos" w:eastAsia="Tinos" w:cs="Tinos"/>
          <w:b/>
          <w:bCs/>
          <w:color w:val="000000"/>
          <w:sz w:val="28"/>
          <w:szCs w:val="28"/>
          <w:highlight w:val="none"/>
          <w:shd w:val="clear" w:color="auto" w:fill="ffffff"/>
        </w:rPr>
      </w:pPr>
      <w:r>
        <w:rPr>
          <w:rFonts w:ascii="Tinos" w:hAnsi="Tinos" w:eastAsia="Tinos" w:cs="Tinos"/>
          <w:b/>
          <w:bCs/>
          <w:color w:val="000000"/>
          <w:sz w:val="28"/>
          <w:szCs w:val="28"/>
          <w:shd w:val="clear" w:color="auto" w:fill="ffffff"/>
        </w:rPr>
        <w:t xml:space="preserve">В 2024 году по «гаражной амнистии» в Вологодской области оформлено 3491 объект недвижимости</w:t>
      </w:r>
      <w:r>
        <w:rPr>
          <w:rFonts w:ascii="Tinos" w:hAnsi="Tinos" w:eastAsia="Tinos" w:cs="Tinos"/>
          <w:b/>
          <w:bCs/>
          <w:color w:val="000000"/>
          <w:sz w:val="28"/>
          <w:szCs w:val="28"/>
          <w:highlight w:val="none"/>
          <w:shd w:val="clear" w:color="auto" w:fill="ffffff"/>
        </w:rPr>
      </w:r>
      <w:r>
        <w:rPr>
          <w:rFonts w:ascii="Tinos" w:hAnsi="Tinos" w:eastAsia="Tinos" w:cs="Tinos"/>
          <w:b/>
          <w:bCs/>
          <w:color w:val="000000"/>
          <w:sz w:val="28"/>
          <w:szCs w:val="28"/>
          <w:highlight w:val="none"/>
          <w:shd w:val="clear" w:color="auto" w:fill="ffffff"/>
        </w:rPr>
      </w:r>
    </w:p>
    <w:p>
      <w:pPr>
        <w:pStyle w:val="836"/>
        <w:ind w:firstLine="708"/>
        <w:jc w:val="both"/>
        <w:spacing w:before="0" w:beforeAutospacing="0" w:after="0" w:afterAutospacing="0"/>
        <w:shd w:val="clear" w:color="auto" w:fill="ffffff"/>
        <w:rPr>
          <w:rFonts w:ascii="Tinos" w:hAnsi="Tinos" w:cs="Tinos"/>
          <w:color w:val="000000"/>
          <w:sz w:val="28"/>
          <w:szCs w:val="28"/>
        </w:rPr>
      </w:pPr>
      <w:r>
        <w:rPr>
          <w:rFonts w:ascii="Tinos" w:hAnsi="Tinos" w:eastAsia="Tinos" w:cs="Tinos"/>
          <w:color w:val="000000"/>
          <w:sz w:val="28"/>
          <w:szCs w:val="28"/>
          <w:shd w:val="clear" w:color="auto" w:fill="ffffff"/>
        </w:rPr>
        <w:t xml:space="preserve">За 2024 год жители Вологодской области в рамках «гаражной амнистии» оформили права на 3491 объект недвижимости, из них 1260 – капитальных гаражей и 2231 земельный участок под ними общей площадью 83 542 кв. м.</w:t>
      </w:r>
      <w:r>
        <w:rPr>
          <w:rFonts w:ascii="Tinos" w:hAnsi="Tinos" w:eastAsia="Tinos" w:cs="Tinos"/>
          <w:color w:val="000000"/>
          <w:sz w:val="28"/>
          <w:szCs w:val="28"/>
          <w:shd w:val="clear" w:color="auto" w:fill="ffffff"/>
        </w:rPr>
        <w:br/>
        <w:tab/>
      </w:r>
      <w:r>
        <w:rPr>
          <w:rFonts w:ascii="Tinos" w:hAnsi="Tinos" w:eastAsia="Tinos" w:cs="Tinos"/>
          <w:color w:val="000000"/>
          <w:sz w:val="28"/>
          <w:szCs w:val="28"/>
        </w:rPr>
        <w:t xml:space="preserve">«</w:t>
      </w:r>
      <w:r>
        <w:rPr>
          <w:rFonts w:ascii="Tinos" w:hAnsi="Tinos" w:eastAsia="Tinos" w:cs="Tinos"/>
          <w:i/>
          <w:iCs/>
          <w:color w:val="000000"/>
          <w:sz w:val="28"/>
          <w:szCs w:val="28"/>
        </w:rPr>
        <w:t xml:space="preserve">Гаражная амнистия» — один из новых эффективных механизмов оформления прав на гаражи и земельные участки и расположенные под ними, которая действует с 1 сентября 2021 года и продлится до 1 сентября 2026 года.</w:t>
      </w:r>
      <w:r>
        <w:rPr>
          <w:rFonts w:ascii="Tinos" w:hAnsi="Tinos" w:eastAsia="Tinos" w:cs="Tinos"/>
          <w:i/>
          <w:iCs/>
          <w:color w:val="000000"/>
          <w:sz w:val="28"/>
          <w:szCs w:val="28"/>
        </w:rPr>
        <w:t xml:space="preserve"> По «гаражной амнистии» </w:t>
      </w:r>
      <w:r>
        <w:rPr>
          <w:rFonts w:ascii="Tinos" w:hAnsi="Tinos" w:eastAsia="Tinos" w:cs="Tinos"/>
          <w:i/>
          <w:iCs/>
          <w:color w:val="000000"/>
          <w:sz w:val="28"/>
          <w:szCs w:val="28"/>
          <w:shd w:val="clear" w:color="auto" w:fill="ffffff"/>
        </w:rPr>
        <w:t xml:space="preserve">можно бесплатно оформить в собственность гараж и земельный участок под ним по упрощенной схеме. </w:t>
      </w:r>
      <w:r>
        <w:rPr>
          <w:rFonts w:ascii="Tinos" w:hAnsi="Tinos" w:eastAsia="Tinos" w:cs="Tinos"/>
          <w:i/>
          <w:iCs/>
          <w:color w:val="000000"/>
          <w:sz w:val="28"/>
          <w:szCs w:val="28"/>
          <w:shd w:val="clear" w:color="auto" w:fill="ffffff"/>
        </w:rPr>
        <w:t xml:space="preserve">Указанные объекты должны быть построены до 30 декабря 2004 года, то есть до вступления в силу Градостроительного кодекса РФ, быть капитальными, иметь фундамент и прочную связь с землей, а также иметь не более одного этажа</w:t>
      </w:r>
      <w:r>
        <w:rPr>
          <w:rFonts w:ascii="Tinos" w:hAnsi="Tinos" w:eastAsia="Tinos" w:cs="Tinos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nos" w:hAnsi="Tinos" w:eastAsia="Tinos" w:cs="Tinos"/>
          <w:i/>
          <w:iCs/>
          <w:color w:val="000000"/>
          <w:sz w:val="28"/>
          <w:szCs w:val="28"/>
          <w:shd w:val="clear" w:color="auto" w:fill="ffffff"/>
        </w:rPr>
        <w:t xml:space="preserve">Оформленные права на гараж и землю под ним позволяют его владельцу в любое время беспрепятственно распорядиться недвижимостью: продать, подарить, передать в залог</w:t>
      </w:r>
      <w:r>
        <w:rPr>
          <w:rFonts w:ascii="Tinos" w:hAnsi="Tinos" w:eastAsia="Tinos" w:cs="Tinos"/>
          <w:color w:val="000000"/>
          <w:sz w:val="28"/>
          <w:szCs w:val="28"/>
          <w:shd w:val="clear" w:color="auto" w:fill="ffffff"/>
        </w:rPr>
        <w:t xml:space="preserve">», – отметил заместитель руководителя Управления Росреестра по Вологодской области </w:t>
      </w:r>
      <w:r>
        <w:rPr>
          <w:rFonts w:ascii="Tinos" w:hAnsi="Tinos" w:eastAsia="Tinos" w:cs="Tinos"/>
          <w:b/>
          <w:bCs/>
          <w:color w:val="000000"/>
          <w:sz w:val="28"/>
          <w:szCs w:val="28"/>
          <w:shd w:val="clear" w:color="auto" w:fill="ffffff"/>
        </w:rPr>
        <w:t xml:space="preserve">Роман Дурасов</w:t>
      </w:r>
      <w:r>
        <w:rPr>
          <w:rFonts w:ascii="Tinos" w:hAnsi="Tinos" w:eastAsia="Tinos" w:cs="Tinos"/>
          <w:color w:val="000000"/>
          <w:sz w:val="28"/>
          <w:szCs w:val="28"/>
          <w:shd w:val="clear" w:color="auto" w:fill="ffffff"/>
        </w:rPr>
        <w:t xml:space="preserve">.</w:t>
      </w:r>
      <w:r>
        <w:rPr>
          <w:rFonts w:ascii="Tinos" w:hAnsi="Tinos" w:cs="Tinos"/>
          <w:color w:val="000000"/>
          <w:sz w:val="28"/>
          <w:szCs w:val="28"/>
        </w:rPr>
      </w:r>
      <w:r>
        <w:rPr>
          <w:rFonts w:ascii="Tinos" w:hAnsi="Tinos" w:cs="Tinos"/>
          <w:color w:val="000000"/>
          <w:sz w:val="28"/>
          <w:szCs w:val="28"/>
        </w:rPr>
      </w:r>
    </w:p>
    <w:p>
      <w:pPr>
        <w:ind w:firstLine="708"/>
        <w:jc w:val="both"/>
        <w:spacing w:after="0" w:afterAutospacing="0"/>
        <w:rPr>
          <w:rFonts w:ascii="Tinos" w:hAnsi="Tinos" w:cs="Tinos"/>
          <w:color w:val="000000"/>
          <w:sz w:val="28"/>
          <w:szCs w:val="28"/>
          <w:highlight w:val="none"/>
        </w:rPr>
      </w:pPr>
      <w:r>
        <w:rPr>
          <w:rFonts w:ascii="Tinos" w:hAnsi="Tinos" w:eastAsia="Tinos" w:cs="Tinos"/>
          <w:color w:val="000000"/>
          <w:sz w:val="28"/>
          <w:szCs w:val="28"/>
          <w:shd w:val="clear" w:color="auto" w:fill="ffffff"/>
        </w:rPr>
        <w:t xml:space="preserve">Наиболее активно упрощенной схемой регистрации права собственности пользуются жители Вологды, Череповца и Сокола.</w:t>
      </w:r>
      <w:r>
        <w:rPr>
          <w:rFonts w:ascii="Tinos" w:hAnsi="Tinos" w:cs="Tinos"/>
          <w:color w:val="000000"/>
          <w:sz w:val="28"/>
          <w:szCs w:val="28"/>
          <w:highlight w:val="none"/>
        </w:rPr>
      </w:r>
      <w:r>
        <w:rPr>
          <w:rFonts w:ascii="Tinos" w:hAnsi="Tinos" w:cs="Tinos"/>
          <w:color w:val="000000"/>
          <w:sz w:val="28"/>
          <w:szCs w:val="28"/>
          <w:highlight w:val="none"/>
        </w:rPr>
      </w:r>
    </w:p>
    <w:p>
      <w:pPr>
        <w:pStyle w:val="836"/>
        <w:ind w:firstLine="708"/>
        <w:jc w:val="both"/>
        <w:spacing w:before="0" w:beforeAutospacing="0" w:after="0" w:afterAutospacing="0"/>
        <w:shd w:val="clear" w:color="auto" w:fill="ffffff"/>
        <w:rPr>
          <w:rFonts w:ascii="Tinos" w:hAnsi="Tinos" w:eastAsia="Tinos" w:cs="Tinos"/>
          <w:color w:val="000000"/>
          <w:sz w:val="28"/>
          <w:szCs w:val="28"/>
          <w:highlight w:val="none"/>
        </w:rPr>
      </w:pPr>
      <w:r>
        <w:rPr>
          <w:rFonts w:ascii="Tinos" w:hAnsi="Tinos" w:eastAsia="Tinos" w:cs="Tinos"/>
          <w:color w:val="000000"/>
          <w:sz w:val="28"/>
          <w:szCs w:val="28"/>
        </w:rPr>
        <w:t xml:space="preserve">За оформлением прав на гараж и земельный участок необходимо обратиться в муниципальный орган власти, в границах которого расположен объект недвижимого имущества, который после получения документов самостоятельно направит их в </w:t>
      </w:r>
      <w:r>
        <w:rPr>
          <w:rFonts w:ascii="Tinos" w:hAnsi="Tinos" w:eastAsia="Tinos" w:cs="Tinos"/>
          <w:color w:val="000000"/>
          <w:sz w:val="28"/>
          <w:szCs w:val="28"/>
        </w:rPr>
        <w:t xml:space="preserve">региональное Управление Росреестра</w:t>
      </w:r>
      <w:r>
        <w:rPr>
          <w:rFonts w:ascii="Tinos" w:hAnsi="Tinos" w:eastAsia="Tinos" w:cs="Tinos"/>
          <w:color w:val="000000"/>
          <w:sz w:val="28"/>
          <w:szCs w:val="28"/>
        </w:rPr>
        <w:t xml:space="preserve">.</w:t>
      </w:r>
      <w:r>
        <w:rPr>
          <w:rFonts w:ascii="Tinos" w:hAnsi="Tinos" w:eastAsia="Tinos" w:cs="Tinos"/>
          <w:color w:val="000000"/>
          <w:sz w:val="28"/>
          <w:szCs w:val="28"/>
          <w:highlight w:val="none"/>
        </w:rPr>
      </w:r>
      <w:r>
        <w:rPr>
          <w:rFonts w:ascii="Tinos" w:hAnsi="Tinos" w:eastAsia="Tinos" w:cs="Tinos"/>
          <w:color w:val="000000"/>
          <w:sz w:val="28"/>
          <w:szCs w:val="28"/>
          <w:highlight w:val="none"/>
        </w:rPr>
      </w:r>
    </w:p>
    <w:p>
      <w:pPr>
        <w:pStyle w:val="832"/>
        <w:ind w:right="282" w:firstLine="567"/>
        <w:jc w:val="both"/>
        <w:rPr>
          <w:highlight w:val="none"/>
        </w:rPr>
      </w:pPr>
      <w:r>
        <w:rPr>
          <w:rFonts w:ascii="Tinos" w:hAnsi="Tinos" w:eastAsia="Tinos" w:cs="Tinos"/>
          <w:i w:val="0"/>
          <w:iCs w:val="0"/>
          <w:color w:val="000000"/>
          <w:sz w:val="28"/>
          <w:szCs w:val="28"/>
          <w:highlight w:val="none"/>
        </w:rPr>
      </w:r>
      <w:r>
        <w:rPr>
          <w:rStyle w:val="837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 xml:space="preserve">На официальном сайте </w:t>
      </w:r>
      <w:r>
        <w:rPr>
          <w:rStyle w:val="837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 xml:space="preserve">Росреестра</w:t>
      </w:r>
      <w:r>
        <w:rPr>
          <w:rStyle w:val="837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 xml:space="preserve"> (</w:t>
      </w:r>
      <w:hyperlink r:id="rId9" w:tooltip="http://www.rosreestr.gov.ru/" w:history="1">
        <w:r>
          <w:rPr>
            <w:rFonts w:ascii="Times New Roman" w:hAnsi="Times New Roman" w:eastAsia="Times New Roman" w:cs="Times New Roman"/>
            <w:i w:val="0"/>
            <w:iCs w:val="0"/>
            <w:color w:val="0000ff"/>
            <w:sz w:val="28"/>
            <w:szCs w:val="28"/>
            <w:u w:val="single"/>
            <w:lang w:eastAsia="ru-RU"/>
          </w:rPr>
          <w:t xml:space="preserve">www.rosreestr.gov.ru</w:t>
        </w:r>
      </w:hyperlink>
      <w:r>
        <w:rPr>
          <w:rFonts w:ascii="Times New Roman" w:hAnsi="Times New Roman" w:eastAsia="Times New Roman" w:cs="Times New Roman"/>
          <w:i w:val="0"/>
          <w:iCs w:val="0"/>
          <w:color w:val="0000ff"/>
          <w:sz w:val="28"/>
          <w:szCs w:val="28"/>
          <w:u w:val="single"/>
          <w:lang w:eastAsia="ru-RU"/>
        </w:rPr>
        <w:t xml:space="preserve">)</w:t>
      </w:r>
      <w:r>
        <w:rPr>
          <w:rFonts w:ascii="Times New Roman" w:hAnsi="Times New Roman" w:eastAsia="Times New Roman" w:cs="Times New Roman"/>
          <w:i w:val="0"/>
          <w:iCs w:val="0"/>
          <w:color w:val="0000ff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  <w:lang w:eastAsia="ru-RU"/>
        </w:rPr>
        <w:t xml:space="preserve">размещены </w:t>
      </w:r>
      <w:hyperlink r:id="rId10" w:tooltip="https://rosreestr.gov.ru/upload/Doc/press/%D0%93%D0%B0%D1%80%D0%B0%D0%B6%D0%BD%D0%B0%D1%8F_%D0%B0%D0%BC%D0%BD%D0%B8%D1%81%D1%82%D0%B8%D1%8F_%D0%BC%D0%B5%D1%82%D0%BE%D0%B4%D0%B8%D1%87%D0%BA%D0%B0.pdf" w:history="1">
        <w:r>
          <w:rPr>
            <w:rFonts w:ascii="Times New Roman" w:hAnsi="Times New Roman" w:eastAsia="Times New Roman" w:cs="Times New Roman"/>
            <w:i w:val="0"/>
            <w:iCs w:val="0"/>
            <w:color w:val="0000ff"/>
            <w:sz w:val="28"/>
            <w:szCs w:val="28"/>
            <w:u w:val="single"/>
            <w:lang w:eastAsia="ru-RU"/>
          </w:rPr>
          <w:t xml:space="preserve">методические рекомендаци</w:t>
        </w:r>
      </w:hyperlink>
      <w:r>
        <w:rPr>
          <w:rFonts w:ascii="Times New Roman" w:hAnsi="Times New Roman" w:eastAsia="Times New Roman" w:cs="Times New Roman"/>
          <w:i w:val="0"/>
          <w:iCs w:val="0"/>
          <w:color w:val="0000ff"/>
          <w:sz w:val="28"/>
          <w:szCs w:val="28"/>
          <w:u w:val="single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i w:val="0"/>
          <w:iCs w:val="0"/>
          <w:color w:val="0000ff"/>
          <w:sz w:val="28"/>
          <w:szCs w:val="28"/>
          <w:u w:val="single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i w:val="0"/>
          <w:iCs w:val="0"/>
          <w:color w:val="0000ff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  <w:lang w:eastAsia="ru-RU"/>
        </w:rPr>
        <w:t xml:space="preserve">где размещены пошаговые инструкции для граждан по оформлению прав на гаражи и земельные участки под ними</w:t>
      </w:r>
      <w:r>
        <w:rPr>
          <w:rFonts w:ascii="Times New Roman" w:hAnsi="Times New Roman" w:eastAsia="Times New Roman" w:cs="Times New Roman"/>
          <w:i w:val="0"/>
          <w:iCs w:val="0"/>
          <w:color w:val="0000ff"/>
          <w:sz w:val="28"/>
          <w:szCs w:val="28"/>
          <w:lang w:eastAsia="ru-RU"/>
        </w:rPr>
        <w:t xml:space="preserve">. </w:t>
      </w: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  <w:lang w:eastAsia="ru-RU"/>
        </w:rPr>
        <w:t xml:space="preserve">Также там опубликованы </w:t>
      </w:r>
      <w:hyperlink r:id="rId11" w:tooltip="https://rosreestr.gov.ru/activity/normativno-pravovoe-regulirovanie-v-sfere-nedvizhimosti/pozitsii-po-voprosam-pravoprimeneniya/o-realizatsii-polozheniy-federalnogo-zakona-ot-05-04-2021-79-fz-o-vnesenii-izmeneniy-v-otdelnye-zako/" w:history="1">
        <w:r>
          <w:rPr>
            <w:rFonts w:ascii="Times New Roman" w:hAnsi="Times New Roman" w:eastAsia="Times New Roman" w:cs="Times New Roman"/>
            <w:i w:val="0"/>
            <w:iCs w:val="0"/>
            <w:color w:val="0000ff"/>
            <w:sz w:val="28"/>
            <w:szCs w:val="28"/>
            <w:u w:val="single"/>
            <w:lang w:eastAsia="ru-RU"/>
          </w:rPr>
          <w:t xml:space="preserve">ответы на часто задаваемые вопросы</w:t>
        </w:r>
      </w:hyperlink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  <w:lang w:eastAsia="ru-RU"/>
        </w:rPr>
        <w:t xml:space="preserve"> (</w:t>
      </w:r>
      <w:r>
        <w:rPr>
          <w:highlight w:val="none"/>
        </w:rPr>
      </w:r>
      <w:hyperlink r:id="rId12" w:tooltip="https://rosreestr.gov.ru/activity/normativno-pravovoe-regulirovanie-v-sfere-nedvizhimosti/pozitsii-po-voprosam-pravoprimeneniya/o-realizatsii-polozheniy-federalnogo-zakona-ot-05-04-2021-79-fz-o-vnesenii-izmeneniy-v-otdelnye-zako/" w:history="1">
        <w:r>
          <w:rPr>
            <w:rStyle w:val="814"/>
            <w:highlight w:val="none"/>
          </w:rPr>
          <w:t xml:space="preserve">https://rosreestr.gov.ru/activity/normativno-pravovoe-regulirovanie-v-sfere-nedvizhimosti/pozitsii-po-voprosam-pravoprimeneniya/o-realizatsii-polozheniy-federalnogo-zakona-ot-05-04-2021-79-fz-o-vnesenii-izmeneniy-v-otdelnye-zako/</w:t>
        </w:r>
        <w:r>
          <w:rPr>
            <w:rStyle w:val="814"/>
            <w:highlight w:val="none"/>
          </w:rPr>
        </w:r>
        <w:r>
          <w:rPr>
            <w:rStyle w:val="814"/>
            <w:highlight w:val="none"/>
          </w:rPr>
        </w:r>
      </w:hyperlink>
      <w:r>
        <w:rPr>
          <w:rStyle w:val="814"/>
          <w:highlight w:val="none"/>
        </w:rPr>
        <w:t xml:space="preserve"> ) </w:t>
      </w:r>
      <w:r>
        <w:rPr>
          <w:rFonts w:ascii="Times New Roman" w:hAnsi="Times New Roman" w:eastAsia="Times New Roman" w:cs="Times New Roman"/>
          <w:i w:val="0"/>
          <w:iCs w:val="0"/>
          <w:sz w:val="28"/>
          <w:szCs w:val="28"/>
          <w:lang w:eastAsia="ru-RU"/>
        </w:rPr>
        <w:t xml:space="preserve">по реализации положений «гаражной амнистии» которые также помогут вологжанам при оформлении прав на недвижимость в рамках «гаражной амнистии</w:t>
      </w:r>
      <w:r>
        <w:rPr>
          <w:rFonts w:ascii="Tinos" w:hAnsi="Tinos" w:eastAsia="Tinos" w:cs="Tinos"/>
          <w:i w:val="0"/>
          <w:iCs w:val="0"/>
          <w:color w:val="000000"/>
          <w:sz w:val="28"/>
          <w:szCs w:val="28"/>
          <w:highlight w:val="none"/>
        </w:rPr>
        <w:t xml:space="preserve">».</w:t>
      </w:r>
      <w:r>
        <w:rPr>
          <w:rStyle w:val="814"/>
          <w:highlight w:val="none"/>
        </w:rPr>
      </w:r>
      <w:r/>
      <w:r>
        <w:rPr>
          <w:sz w:val="28"/>
          <w:szCs w:val="28"/>
        </w:rPr>
      </w:r>
    </w:p>
    <w:p>
      <w:pPr>
        <w:ind w:right="282" w:firstLine="567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after="0" w:line="240" w:lineRule="auto"/>
      </w:pPr>
      <w:r>
        <w:rPr>
          <w:highlight w:val="none"/>
        </w:rPr>
      </w:r>
      <w:r>
        <w:rPr>
          <w:highlight w:val="none"/>
        </w:rPr>
      </w:r>
      <w:r/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t xml:space="preserve">Контакты для СМИ:</w:t>
      </w:r>
      <w:r>
        <w:rPr>
          <w:highlight w:val="none"/>
        </w:rPr>
      </w:r>
    </w:p>
    <w:p>
      <w:pPr>
        <w:spacing w:after="0" w:line="240" w:lineRule="auto"/>
      </w:pPr>
      <w:r>
        <w:t xml:space="preserve">Пресс-служба Управления </w:t>
      </w:r>
      <w:r>
        <w:t xml:space="preserve">Росреестра</w:t>
      </w:r>
      <w:r>
        <w:t xml:space="preserve"> по Вологодской области</w:t>
      </w:r>
      <w:r/>
    </w:p>
    <w:p>
      <w:pPr>
        <w:spacing w:after="0" w:line="240" w:lineRule="auto"/>
      </w:pPr>
      <w:r>
        <w:t xml:space="preserve">(8172) 72 86 11, доб. 1045</w:t>
      </w:r>
      <w:r/>
    </w:p>
    <w:p>
      <w:pPr>
        <w:spacing w:after="0" w:line="240" w:lineRule="auto"/>
      </w:pPr>
      <w:r/>
      <w:hyperlink r:id="rId13" w:tooltip="mailto:press@r35.rosreestr.ru" w:history="1">
        <w:r>
          <w:rPr>
            <w:rStyle w:val="814"/>
            <w:lang w:val="en-US"/>
          </w:rPr>
          <w:t xml:space="preserve">press</w:t>
        </w:r>
        <w:r>
          <w:rPr>
            <w:rStyle w:val="814"/>
          </w:rPr>
          <w:t xml:space="preserve">@</w:t>
        </w:r>
        <w:r>
          <w:rPr>
            <w:rStyle w:val="814"/>
            <w:lang w:val="en-US"/>
          </w:rPr>
          <w:t xml:space="preserve">r</w:t>
        </w:r>
        <w:r>
          <w:rPr>
            <w:rStyle w:val="814"/>
          </w:rPr>
          <w:t xml:space="preserve">35.</w:t>
        </w:r>
        <w:r>
          <w:rPr>
            <w:rStyle w:val="814"/>
            <w:lang w:val="en-US"/>
          </w:rPr>
          <w:t xml:space="preserve">rosreestr</w:t>
        </w:r>
        <w:r>
          <w:rPr>
            <w:rStyle w:val="814"/>
          </w:rPr>
          <w:t xml:space="preserve">.</w:t>
        </w:r>
        <w:r>
          <w:rPr>
            <w:rStyle w:val="814"/>
            <w:lang w:val="en-US"/>
          </w:rPr>
          <w:t xml:space="preserve">ru</w:t>
        </w:r>
      </w:hyperlink>
      <w:r/>
      <w:r/>
    </w:p>
    <w:p>
      <w:pPr>
        <w:spacing w:after="0" w:line="240" w:lineRule="auto"/>
      </w:pPr>
      <w:r>
        <w:t xml:space="preserve">160001, г. Вологда, ул. Челюскинцев, д. 3</w:t>
      </w:r>
      <w:r/>
    </w:p>
    <w:sectPr>
      <w:footnotePr/>
      <w:endnotePr/>
      <w:type w:val="nextPage"/>
      <w:pgSz w:w="11906" w:h="16838" w:orient="portrait"/>
      <w:pgMar w:top="567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nos">
    <w:panose1 w:val="02020603050405020304"/>
  </w:font>
  <w:font w:name="Segoe UI">
    <w:panose1 w:val="020B050204050402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2"/>
    <w:next w:val="832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basedOn w:val="833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2"/>
    <w:next w:val="832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basedOn w:val="833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2"/>
    <w:next w:val="832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basedOn w:val="833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2"/>
    <w:next w:val="832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basedOn w:val="833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2"/>
    <w:next w:val="832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basedOn w:val="833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2"/>
    <w:next w:val="832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basedOn w:val="833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2"/>
    <w:next w:val="832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basedOn w:val="833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2"/>
    <w:next w:val="832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basedOn w:val="833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2"/>
    <w:next w:val="832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basedOn w:val="833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List Paragraph"/>
    <w:basedOn w:val="832"/>
    <w:uiPriority w:val="34"/>
    <w:qFormat/>
    <w:pPr>
      <w:contextualSpacing/>
      <w:ind w:left="720"/>
    </w:pPr>
  </w:style>
  <w:style w:type="paragraph" w:styleId="673">
    <w:name w:val="No Spacing"/>
    <w:uiPriority w:val="1"/>
    <w:qFormat/>
    <w:pPr>
      <w:spacing w:before="0" w:after="0" w:line="240" w:lineRule="auto"/>
    </w:pPr>
  </w:style>
  <w:style w:type="paragraph" w:styleId="674">
    <w:name w:val="Title"/>
    <w:basedOn w:val="832"/>
    <w:next w:val="832"/>
    <w:link w:val="67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5">
    <w:name w:val="Title Char"/>
    <w:basedOn w:val="833"/>
    <w:link w:val="674"/>
    <w:uiPriority w:val="10"/>
    <w:rPr>
      <w:sz w:val="48"/>
      <w:szCs w:val="48"/>
    </w:rPr>
  </w:style>
  <w:style w:type="paragraph" w:styleId="676">
    <w:name w:val="Subtitle"/>
    <w:basedOn w:val="832"/>
    <w:next w:val="832"/>
    <w:link w:val="677"/>
    <w:uiPriority w:val="11"/>
    <w:qFormat/>
    <w:pPr>
      <w:spacing w:before="200" w:after="200"/>
    </w:pPr>
    <w:rPr>
      <w:sz w:val="24"/>
      <w:szCs w:val="24"/>
    </w:rPr>
  </w:style>
  <w:style w:type="character" w:styleId="677">
    <w:name w:val="Subtitle Char"/>
    <w:basedOn w:val="833"/>
    <w:link w:val="676"/>
    <w:uiPriority w:val="11"/>
    <w:rPr>
      <w:sz w:val="24"/>
      <w:szCs w:val="24"/>
    </w:rPr>
  </w:style>
  <w:style w:type="paragraph" w:styleId="678">
    <w:name w:val="Quote"/>
    <w:basedOn w:val="832"/>
    <w:next w:val="832"/>
    <w:link w:val="679"/>
    <w:uiPriority w:val="29"/>
    <w:qFormat/>
    <w:pPr>
      <w:ind w:left="720" w:right="720"/>
    </w:pPr>
    <w:rPr>
      <w:i/>
    </w:rPr>
  </w:style>
  <w:style w:type="character" w:styleId="679">
    <w:name w:val="Quote Char"/>
    <w:link w:val="678"/>
    <w:uiPriority w:val="29"/>
    <w:rPr>
      <w:i/>
    </w:rPr>
  </w:style>
  <w:style w:type="paragraph" w:styleId="680">
    <w:name w:val="Intense Quote"/>
    <w:basedOn w:val="832"/>
    <w:next w:val="832"/>
    <w:link w:val="68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1">
    <w:name w:val="Intense Quote Char"/>
    <w:link w:val="680"/>
    <w:uiPriority w:val="30"/>
    <w:rPr>
      <w:i/>
    </w:rPr>
  </w:style>
  <w:style w:type="paragraph" w:styleId="682">
    <w:name w:val="Header"/>
    <w:basedOn w:val="832"/>
    <w:link w:val="68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Header Char"/>
    <w:basedOn w:val="833"/>
    <w:link w:val="682"/>
    <w:uiPriority w:val="99"/>
  </w:style>
  <w:style w:type="paragraph" w:styleId="684">
    <w:name w:val="Footer"/>
    <w:basedOn w:val="832"/>
    <w:link w:val="68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5">
    <w:name w:val="Footer Char"/>
    <w:basedOn w:val="833"/>
    <w:link w:val="684"/>
    <w:uiPriority w:val="99"/>
  </w:style>
  <w:style w:type="paragraph" w:styleId="686">
    <w:name w:val="Caption"/>
    <w:basedOn w:val="832"/>
    <w:next w:val="83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7">
    <w:name w:val="Caption Char"/>
    <w:basedOn w:val="686"/>
    <w:link w:val="684"/>
    <w:uiPriority w:val="99"/>
  </w:style>
  <w:style w:type="table" w:styleId="688">
    <w:name w:val="Table Grid"/>
    <w:basedOn w:val="83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9">
    <w:name w:val="Table Grid Light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0">
    <w:name w:val="Plain Table 1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1">
    <w:name w:val="Plain Table 2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2">
    <w:name w:val="Plain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3">
    <w:name w:val="Plain Table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Plain Table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5">
    <w:name w:val="Grid Table 1 Light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4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7">
    <w:name w:val="Grid Table 4 - Accent 1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8">
    <w:name w:val="Grid Table 4 - Accent 2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9">
    <w:name w:val="Grid Table 4 - Accent 3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0">
    <w:name w:val="Grid Table 4 - Accent 4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1">
    <w:name w:val="Grid Table 4 - Accent 5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2">
    <w:name w:val="Grid Table 4 - Accent 6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3">
    <w:name w:val="Grid Table 5 Dark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4">
    <w:name w:val="Grid Table 5 Dark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25">
    <w:name w:val="Grid Table 5 Dark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27">
    <w:name w:val="Grid Table 5 Dark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30">
    <w:name w:val="Grid Table 6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1">
    <w:name w:val="Grid Table 6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2">
    <w:name w:val="Grid Table 6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3">
    <w:name w:val="Grid Table 6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4">
    <w:name w:val="Grid Table 6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5">
    <w:name w:val="Grid Table 6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6">
    <w:name w:val="Grid Table 6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7">
    <w:name w:val="Grid Table 7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2">
    <w:name w:val="List Table 2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3">
    <w:name w:val="List Table 2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4">
    <w:name w:val="List Table 2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5">
    <w:name w:val="List Table 2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6">
    <w:name w:val="List Table 2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7">
    <w:name w:val="List Table 2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8">
    <w:name w:val="List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5 Dark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6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0">
    <w:name w:val="List Table 6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1">
    <w:name w:val="List Table 6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2">
    <w:name w:val="List Table 6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3">
    <w:name w:val="List Table 6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4">
    <w:name w:val="List Table 6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5">
    <w:name w:val="List Table 6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6">
    <w:name w:val="List Table 7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7">
    <w:name w:val="List Table 7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88">
    <w:name w:val="List Table 7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89">
    <w:name w:val="List Table 7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90">
    <w:name w:val="List Table 7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91">
    <w:name w:val="List Table 7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2">
    <w:name w:val="List Table 7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3">
    <w:name w:val="Lined - Accent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4">
    <w:name w:val="Lined - Accent 1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95">
    <w:name w:val="Lined - Accent 2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96">
    <w:name w:val="Lined - Accent 3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97">
    <w:name w:val="Lined - Accent 4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98">
    <w:name w:val="Lined - Accent 5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99">
    <w:name w:val="Lined - Accent 6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0">
    <w:name w:val="Bordered &amp; Lined - Accent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1">
    <w:name w:val="Bordered &amp; Lined - Accent 1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2">
    <w:name w:val="Bordered &amp; Lined - Accent 2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3">
    <w:name w:val="Bordered &amp; Lined - Accent 3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4">
    <w:name w:val="Bordered &amp; Lined - Accent 4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5">
    <w:name w:val="Bordered &amp; Lined - Accent 5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6">
    <w:name w:val="Bordered &amp; Lined - Accent 6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7">
    <w:name w:val="Bordered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8">
    <w:name w:val="Bordered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9">
    <w:name w:val="Bordered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0">
    <w:name w:val="Bordered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1">
    <w:name w:val="Bordered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2">
    <w:name w:val="Bordered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3">
    <w:name w:val="Bordered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4">
    <w:name w:val="Hyperlink"/>
    <w:uiPriority w:val="99"/>
    <w:unhideWhenUsed/>
    <w:rPr>
      <w:color w:val="0000ff" w:themeColor="hyperlink"/>
      <w:u w:val="single"/>
    </w:rPr>
  </w:style>
  <w:style w:type="paragraph" w:styleId="815">
    <w:name w:val="footnote text"/>
    <w:basedOn w:val="832"/>
    <w:link w:val="816"/>
    <w:uiPriority w:val="99"/>
    <w:semiHidden/>
    <w:unhideWhenUsed/>
    <w:pPr>
      <w:spacing w:after="40" w:line="240" w:lineRule="auto"/>
    </w:pPr>
    <w:rPr>
      <w:sz w:val="18"/>
    </w:rPr>
  </w:style>
  <w:style w:type="character" w:styleId="816">
    <w:name w:val="Footnote Text Char"/>
    <w:link w:val="815"/>
    <w:uiPriority w:val="99"/>
    <w:rPr>
      <w:sz w:val="18"/>
    </w:rPr>
  </w:style>
  <w:style w:type="character" w:styleId="817">
    <w:name w:val="footnote reference"/>
    <w:basedOn w:val="833"/>
    <w:uiPriority w:val="99"/>
    <w:unhideWhenUsed/>
    <w:rPr>
      <w:vertAlign w:val="superscript"/>
    </w:rPr>
  </w:style>
  <w:style w:type="paragraph" w:styleId="818">
    <w:name w:val="endnote text"/>
    <w:basedOn w:val="832"/>
    <w:link w:val="819"/>
    <w:uiPriority w:val="99"/>
    <w:semiHidden/>
    <w:unhideWhenUsed/>
    <w:pPr>
      <w:spacing w:after="0" w:line="240" w:lineRule="auto"/>
    </w:pPr>
    <w:rPr>
      <w:sz w:val="20"/>
    </w:rPr>
  </w:style>
  <w:style w:type="character" w:styleId="819">
    <w:name w:val="Endnote Text Char"/>
    <w:link w:val="818"/>
    <w:uiPriority w:val="99"/>
    <w:rPr>
      <w:sz w:val="20"/>
    </w:rPr>
  </w:style>
  <w:style w:type="character" w:styleId="820">
    <w:name w:val="endnote reference"/>
    <w:basedOn w:val="833"/>
    <w:uiPriority w:val="99"/>
    <w:semiHidden/>
    <w:unhideWhenUsed/>
    <w:rPr>
      <w:vertAlign w:val="superscript"/>
    </w:rPr>
  </w:style>
  <w:style w:type="paragraph" w:styleId="821">
    <w:name w:val="toc 1"/>
    <w:basedOn w:val="832"/>
    <w:next w:val="832"/>
    <w:uiPriority w:val="39"/>
    <w:unhideWhenUsed/>
    <w:pPr>
      <w:ind w:left="0" w:right="0" w:firstLine="0"/>
      <w:spacing w:after="57"/>
    </w:pPr>
  </w:style>
  <w:style w:type="paragraph" w:styleId="822">
    <w:name w:val="toc 2"/>
    <w:basedOn w:val="832"/>
    <w:next w:val="832"/>
    <w:uiPriority w:val="39"/>
    <w:unhideWhenUsed/>
    <w:pPr>
      <w:ind w:left="283" w:right="0" w:firstLine="0"/>
      <w:spacing w:after="57"/>
    </w:pPr>
  </w:style>
  <w:style w:type="paragraph" w:styleId="823">
    <w:name w:val="toc 3"/>
    <w:basedOn w:val="832"/>
    <w:next w:val="832"/>
    <w:uiPriority w:val="39"/>
    <w:unhideWhenUsed/>
    <w:pPr>
      <w:ind w:left="567" w:right="0" w:firstLine="0"/>
      <w:spacing w:after="57"/>
    </w:pPr>
  </w:style>
  <w:style w:type="paragraph" w:styleId="824">
    <w:name w:val="toc 4"/>
    <w:basedOn w:val="832"/>
    <w:next w:val="832"/>
    <w:uiPriority w:val="39"/>
    <w:unhideWhenUsed/>
    <w:pPr>
      <w:ind w:left="850" w:right="0" w:firstLine="0"/>
      <w:spacing w:after="57"/>
    </w:pPr>
  </w:style>
  <w:style w:type="paragraph" w:styleId="825">
    <w:name w:val="toc 5"/>
    <w:basedOn w:val="832"/>
    <w:next w:val="832"/>
    <w:uiPriority w:val="39"/>
    <w:unhideWhenUsed/>
    <w:pPr>
      <w:ind w:left="1134" w:right="0" w:firstLine="0"/>
      <w:spacing w:after="57"/>
    </w:pPr>
  </w:style>
  <w:style w:type="paragraph" w:styleId="826">
    <w:name w:val="toc 6"/>
    <w:basedOn w:val="832"/>
    <w:next w:val="832"/>
    <w:uiPriority w:val="39"/>
    <w:unhideWhenUsed/>
    <w:pPr>
      <w:ind w:left="1417" w:right="0" w:firstLine="0"/>
      <w:spacing w:after="57"/>
    </w:pPr>
  </w:style>
  <w:style w:type="paragraph" w:styleId="827">
    <w:name w:val="toc 7"/>
    <w:basedOn w:val="832"/>
    <w:next w:val="832"/>
    <w:uiPriority w:val="39"/>
    <w:unhideWhenUsed/>
    <w:pPr>
      <w:ind w:left="1701" w:right="0" w:firstLine="0"/>
      <w:spacing w:after="57"/>
    </w:pPr>
  </w:style>
  <w:style w:type="paragraph" w:styleId="828">
    <w:name w:val="toc 8"/>
    <w:basedOn w:val="832"/>
    <w:next w:val="832"/>
    <w:uiPriority w:val="39"/>
    <w:unhideWhenUsed/>
    <w:pPr>
      <w:ind w:left="1984" w:right="0" w:firstLine="0"/>
      <w:spacing w:after="57"/>
    </w:pPr>
  </w:style>
  <w:style w:type="paragraph" w:styleId="829">
    <w:name w:val="toc 9"/>
    <w:basedOn w:val="832"/>
    <w:next w:val="832"/>
    <w:uiPriority w:val="39"/>
    <w:unhideWhenUsed/>
    <w:pPr>
      <w:ind w:left="2268" w:right="0" w:firstLine="0"/>
      <w:spacing w:after="57"/>
    </w:pPr>
  </w:style>
  <w:style w:type="paragraph" w:styleId="830">
    <w:name w:val="TOC Heading"/>
    <w:uiPriority w:val="39"/>
    <w:unhideWhenUsed/>
  </w:style>
  <w:style w:type="paragraph" w:styleId="831">
    <w:name w:val="table of figures"/>
    <w:basedOn w:val="832"/>
    <w:next w:val="832"/>
    <w:uiPriority w:val="99"/>
    <w:unhideWhenUsed/>
    <w:pPr>
      <w:spacing w:after="0" w:afterAutospacing="0"/>
    </w:pPr>
  </w:style>
  <w:style w:type="paragraph" w:styleId="832" w:default="1">
    <w:name w:val="Normal"/>
    <w:qFormat/>
  </w:style>
  <w:style w:type="character" w:styleId="833" w:default="1">
    <w:name w:val="Default Paragraph Font"/>
    <w:uiPriority w:val="1"/>
    <w:semiHidden/>
    <w:unhideWhenUsed/>
  </w:style>
  <w:style w:type="table" w:styleId="83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5" w:default="1">
    <w:name w:val="No List"/>
    <w:uiPriority w:val="99"/>
    <w:semiHidden/>
    <w:unhideWhenUsed/>
  </w:style>
  <w:style w:type="paragraph" w:styleId="836">
    <w:name w:val="Normal (Web)"/>
    <w:basedOn w:val="832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37">
    <w:name w:val="Emphasis"/>
    <w:basedOn w:val="833"/>
    <w:uiPriority w:val="20"/>
    <w:qFormat/>
    <w:rPr>
      <w:i/>
      <w:iCs/>
    </w:rPr>
  </w:style>
  <w:style w:type="character" w:styleId="838">
    <w:name w:val="Strong"/>
    <w:basedOn w:val="833"/>
    <w:uiPriority w:val="22"/>
    <w:qFormat/>
    <w:rPr>
      <w:b/>
      <w:bCs/>
    </w:rPr>
  </w:style>
  <w:style w:type="paragraph" w:styleId="839">
    <w:name w:val="Balloon Text"/>
    <w:basedOn w:val="832"/>
    <w:link w:val="840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840" w:customStyle="1">
    <w:name w:val="Текст выноски Знак"/>
    <w:basedOn w:val="833"/>
    <w:link w:val="839"/>
    <w:uiPriority w:val="99"/>
    <w:semiHidden/>
    <w:rPr>
      <w:rFonts w:ascii="Segoe UI" w:hAnsi="Segoe UI" w:cs="Segoe UI"/>
      <w:sz w:val="18"/>
      <w:szCs w:val="18"/>
    </w:rPr>
  </w:style>
  <w:style w:type="character" w:styleId="1_1078" w:customStyle="1">
    <w:name w:val="Гиперссылка"/>
    <w:next w:val="665"/>
    <w:link w:val="657"/>
    <w:uiPriority w:val="99"/>
    <w:unhideWhenUsed/>
    <w:rPr>
      <w:color w:val="0000ff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hyperlink" Target="http://www.rosreestr.gov.ru/" TargetMode="External"/><Relationship Id="rId10" Type="http://schemas.openxmlformats.org/officeDocument/2006/relationships/hyperlink" Target="https://rosreestr.gov.ru/upload/Doc/press/%D0%93%D0%B0%D1%80%D0%B0%D0%B6%D0%BD%D0%B0%D1%8F_%D0%B0%D0%BC%D0%BD%D0%B8%D1%81%D1%82%D0%B8%D1%8F_%D0%BC%D0%B5%D1%82%D0%BE%D0%B4%D0%B8%D1%87%D0%BA%D0%B0.pdf" TargetMode="External"/><Relationship Id="rId11" Type="http://schemas.openxmlformats.org/officeDocument/2006/relationships/hyperlink" Target="https://rosreestr.gov.ru/activity/normativno-pravovoe-regulirovanie-v-sfere-nedvizhimosti/pozitsii-po-voprosam-pravoprimeneniya/o-realizatsii-polozheniy-federalnogo-zakona-ot-05-04-2021-79-fz-o-vnesenii-izmeneniy-v-otdelnye-zako/" TargetMode="External"/><Relationship Id="rId12" Type="http://schemas.openxmlformats.org/officeDocument/2006/relationships/hyperlink" Target="https://rosreestr.gov.ru/activity/normativno-pravovoe-regulirovanie-v-sfere-nedvizhimosti/pozitsii-po-voprosam-pravoprimeneniya/o-realizatsii-polozheniy-federalnogo-zakona-ot-05-04-2021-79-fz-o-vnesenii-izmeneniy-v-otdelnye-zako/" TargetMode="External"/><Relationship Id="rId13" Type="http://schemas.openxmlformats.org/officeDocument/2006/relationships/hyperlink" Target="mailto:press@r35.rosreestr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Р7-Офис/2024.3.2.584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Дуда Оксана Иосифовна</dc:creator>
  <cp:keywords/>
  <dc:description/>
  <cp:revision>9</cp:revision>
  <dcterms:created xsi:type="dcterms:W3CDTF">2023-09-05T05:39:00Z</dcterms:created>
  <dcterms:modified xsi:type="dcterms:W3CDTF">2025-01-16T11:46:02Z</dcterms:modified>
</cp:coreProperties>
</file>