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B4646B">
        <w:rPr>
          <w:sz w:val="25"/>
          <w:szCs w:val="25"/>
        </w:rPr>
        <w:t>2</w:t>
      </w:r>
      <w:r w:rsidR="00E87B54">
        <w:rPr>
          <w:sz w:val="25"/>
          <w:szCs w:val="25"/>
        </w:rPr>
        <w:t>9</w:t>
      </w:r>
      <w:r w:rsidR="008278DD">
        <w:rPr>
          <w:sz w:val="25"/>
          <w:szCs w:val="25"/>
        </w:rPr>
        <w:t>.0</w:t>
      </w:r>
      <w:r w:rsidR="00B4646B">
        <w:rPr>
          <w:sz w:val="25"/>
          <w:szCs w:val="25"/>
        </w:rPr>
        <w:t>7</w:t>
      </w:r>
      <w:r w:rsidR="008278DD">
        <w:rPr>
          <w:sz w:val="25"/>
          <w:szCs w:val="25"/>
        </w:rPr>
        <w:t>.202</w:t>
      </w:r>
      <w:r w:rsidR="00E87B54">
        <w:rPr>
          <w:sz w:val="25"/>
          <w:szCs w:val="25"/>
        </w:rPr>
        <w:t>4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415912">
        <w:rPr>
          <w:sz w:val="25"/>
          <w:szCs w:val="25"/>
        </w:rPr>
        <w:t>294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38365F" w:rsidRDefault="0038365F" w:rsidP="00050808">
      <w:pPr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</w:t>
      </w:r>
      <w:r w:rsidR="00050808">
        <w:rPr>
          <w:sz w:val="28"/>
          <w:szCs w:val="28"/>
        </w:rPr>
        <w:t xml:space="preserve">сении изменений в постановление </w:t>
      </w:r>
      <w:r>
        <w:rPr>
          <w:sz w:val="28"/>
          <w:szCs w:val="28"/>
        </w:rPr>
        <w:t>Администрации муниципального образования Югское от 07.11.2013г. № 311</w:t>
      </w:r>
      <w:r w:rsidR="00050808">
        <w:rPr>
          <w:sz w:val="28"/>
          <w:szCs w:val="28"/>
        </w:rPr>
        <w:t xml:space="preserve"> </w:t>
      </w:r>
      <w:r>
        <w:rPr>
          <w:sz w:val="28"/>
          <w:szCs w:val="28"/>
        </w:rPr>
        <w:t>«Об     утверждении муниципальной Программы</w:t>
      </w:r>
      <w:r w:rsidR="00050808">
        <w:rPr>
          <w:sz w:val="28"/>
          <w:szCs w:val="28"/>
        </w:rPr>
        <w:t xml:space="preserve"> </w:t>
      </w:r>
      <w:r>
        <w:rPr>
          <w:sz w:val="28"/>
          <w:szCs w:val="28"/>
        </w:rPr>
        <w:t>«Сохранение и развитие культурного потенциала муниципального образования Югское</w:t>
      </w:r>
      <w:r w:rsidR="00050808">
        <w:rPr>
          <w:sz w:val="28"/>
          <w:szCs w:val="28"/>
        </w:rPr>
        <w:t xml:space="preserve"> </w:t>
      </w:r>
      <w:r>
        <w:rPr>
          <w:sz w:val="28"/>
          <w:szCs w:val="28"/>
        </w:rPr>
        <w:t>на 2014-2026 годы»»</w:t>
      </w:r>
    </w:p>
    <w:p w:rsidR="0038365F" w:rsidRDefault="0038365F" w:rsidP="003836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</w:t>
      </w:r>
    </w:p>
    <w:p w:rsidR="0038365F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сельского поселения Югское</w:t>
      </w:r>
    </w:p>
    <w:p w:rsidR="0038365F" w:rsidRPr="00050808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8365F" w:rsidRPr="00050808" w:rsidRDefault="0038365F" w:rsidP="0038365F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050808">
        <w:rPr>
          <w:sz w:val="28"/>
          <w:szCs w:val="28"/>
        </w:rPr>
        <w:t>ПОСТАНОВЛЯЕТ: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  программу «Сохранение и развитие культурного потенциала муниципального образования Югское на 2014-2026 годы», утвержденную постановлением от 07.11.2013г. № 311 следующие изменения: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Изложить муниципальную Программу «Сохранение и развитие культурного потенциала муниципального образования Югское на 2014-2026 годы»  в новой редакции  согласно приложению 1 к настоящему постановлению.</w:t>
      </w:r>
    </w:p>
    <w:p w:rsidR="0038365F" w:rsidRDefault="0038365F" w:rsidP="006903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 Постановление  опубликовать  в информационном вестнике     «</w:t>
      </w:r>
      <w:proofErr w:type="spellStart"/>
      <w:r>
        <w:rPr>
          <w:sz w:val="28"/>
          <w:szCs w:val="28"/>
        </w:rPr>
        <w:t>Югский</w:t>
      </w:r>
      <w:proofErr w:type="spellEnd"/>
      <w:r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6903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1E5E" w:rsidRPr="00B105D2" w:rsidRDefault="00016C97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r w:rsidR="00D17F6F">
        <w:rPr>
          <w:sz w:val="28"/>
          <w:szCs w:val="28"/>
        </w:rPr>
        <w:t>А.В.</w:t>
      </w:r>
      <w:r w:rsidR="00050808">
        <w:rPr>
          <w:sz w:val="28"/>
          <w:szCs w:val="28"/>
        </w:rPr>
        <w:t xml:space="preserve"> </w:t>
      </w:r>
      <w:bookmarkStart w:id="0" w:name="_GoBack"/>
      <w:bookmarkEnd w:id="0"/>
      <w:r w:rsidR="00D17F6F">
        <w:rPr>
          <w:sz w:val="28"/>
          <w:szCs w:val="28"/>
        </w:rPr>
        <w:t>Замыслов</w:t>
      </w: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050808" w:rsidRDefault="00050808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050808" w:rsidRDefault="00050808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38365F" w:rsidRDefault="0038365F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38365F">
        <w:rPr>
          <w:rFonts w:ascii="Times New Roman" w:hAnsi="Times New Roman" w:cs="Times New Roman"/>
          <w:b w:val="0"/>
          <w:sz w:val="18"/>
          <w:szCs w:val="18"/>
        </w:rPr>
        <w:t>2</w:t>
      </w:r>
      <w:r w:rsidR="00E87B54">
        <w:rPr>
          <w:rFonts w:ascii="Times New Roman" w:hAnsi="Times New Roman" w:cs="Times New Roman"/>
          <w:b w:val="0"/>
          <w:sz w:val="18"/>
          <w:szCs w:val="18"/>
        </w:rPr>
        <w:t>9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</w:t>
      </w:r>
      <w:r w:rsidR="0038365F">
        <w:rPr>
          <w:rFonts w:ascii="Times New Roman" w:hAnsi="Times New Roman" w:cs="Times New Roman"/>
          <w:b w:val="0"/>
          <w:sz w:val="18"/>
          <w:szCs w:val="18"/>
        </w:rPr>
        <w:t>7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E87B54">
        <w:rPr>
          <w:rFonts w:ascii="Times New Roman" w:hAnsi="Times New Roman" w:cs="Times New Roman"/>
          <w:b w:val="0"/>
          <w:sz w:val="18"/>
          <w:szCs w:val="18"/>
        </w:rPr>
        <w:t>4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415912">
        <w:rPr>
          <w:rFonts w:ascii="Times New Roman" w:hAnsi="Times New Roman" w:cs="Times New Roman"/>
          <w:b w:val="0"/>
          <w:sz w:val="18"/>
          <w:szCs w:val="18"/>
        </w:rPr>
        <w:t>294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38365F">
        <w:rPr>
          <w:sz w:val="18"/>
          <w:szCs w:val="18"/>
        </w:rPr>
        <w:t>6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E87B54">
        <w:rPr>
          <w:b/>
        </w:rPr>
        <w:t>6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5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497"/>
      </w:tblGrid>
      <w:tr w:rsidR="00832063" w:rsidTr="00E87B54">
        <w:trPr>
          <w:trHeight w:val="274"/>
        </w:trPr>
        <w:tc>
          <w:tcPr>
            <w:tcW w:w="1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E87B54">
              <w:rPr>
                <w:sz w:val="22"/>
                <w:szCs w:val="22"/>
                <w:lang w:eastAsia="en-US"/>
              </w:rPr>
              <w:t>6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E87B54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E87B54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E87B54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E87B54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E87B54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E87B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E87B54">
              <w:rPr>
                <w:rFonts w:cs="Calibri"/>
                <w:sz w:val="22"/>
                <w:szCs w:val="22"/>
                <w:lang w:eastAsia="en-US"/>
              </w:rPr>
              <w:t>Абрамянц</w:t>
            </w:r>
            <w:proofErr w:type="spellEnd"/>
            <w:r w:rsidR="00E87B54">
              <w:rPr>
                <w:rFonts w:cs="Calibri"/>
                <w:sz w:val="22"/>
                <w:szCs w:val="22"/>
                <w:lang w:eastAsia="en-US"/>
              </w:rPr>
              <w:t xml:space="preserve"> Людмила Александровна</w:t>
            </w: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4"/>
              <w:gridCol w:w="413"/>
              <w:gridCol w:w="426"/>
              <w:gridCol w:w="567"/>
              <w:gridCol w:w="425"/>
              <w:gridCol w:w="567"/>
              <w:gridCol w:w="567"/>
              <w:gridCol w:w="567"/>
              <w:gridCol w:w="655"/>
              <w:gridCol w:w="735"/>
              <w:gridCol w:w="735"/>
              <w:gridCol w:w="852"/>
              <w:gridCol w:w="708"/>
              <w:gridCol w:w="851"/>
            </w:tblGrid>
            <w:tr w:rsidR="00E87B54" w:rsidTr="00E87B54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2026 год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1E662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38365F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7976,0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87B54" w:rsidRDefault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8138,7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8309,6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я программы:</w:t>
                  </w:r>
                </w:p>
                <w:p w:rsidR="00E87B54" w:rsidRDefault="00E87B54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38365F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365F" w:rsidRDefault="0038365F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65F" w:rsidRDefault="0038365F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7796,0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8138,7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38365F" w:rsidRDefault="0038365F" w:rsidP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8309,6</w:t>
                  </w: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3836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180,0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87B54" w:rsidTr="00E87B54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87B54" w:rsidRDefault="00E87B54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E87B54" w:rsidRDefault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E87B54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AC3979" w:rsidRDefault="00AC3979" w:rsidP="00CE2BAE">
      <w:pPr>
        <w:pStyle w:val="Style4"/>
        <w:widowControl/>
        <w:spacing w:line="240" w:lineRule="auto"/>
        <w:ind w:left="45" w:firstLine="720"/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AC3979" w:rsidRDefault="00AC3979" w:rsidP="00FE4BC0">
      <w:pPr>
        <w:pStyle w:val="Style4"/>
        <w:widowControl/>
        <w:spacing w:line="240" w:lineRule="auto"/>
        <w:ind w:left="45" w:firstLine="720"/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AC3979" w:rsidRDefault="00FE4BC0" w:rsidP="00AC3979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</w:t>
      </w:r>
    </w:p>
    <w:p w:rsidR="00AC3979" w:rsidRDefault="00AC3979" w:rsidP="00AC3979">
      <w:pPr>
        <w:pStyle w:val="Style4"/>
        <w:widowControl/>
        <w:spacing w:line="240" w:lineRule="auto"/>
        <w:ind w:left="45" w:firstLine="720"/>
      </w:pPr>
    </w:p>
    <w:p w:rsidR="00AC3979" w:rsidRDefault="00AC3979" w:rsidP="00AC3979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C3979">
        <w:rPr>
          <w:sz w:val="24"/>
          <w:szCs w:val="24"/>
        </w:rPr>
        <w:t>Основное мероприятие 02 «Реализация отдельных мероприятий муниципальной программы, не связанных с выполнением муниципального задания»</w:t>
      </w:r>
    </w:p>
    <w:p w:rsidR="00AC3979" w:rsidRDefault="00AC3979" w:rsidP="00AC3979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AC3979" w:rsidRDefault="00AC3979" w:rsidP="00AC3979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расходы на мероприятия по антитеррористической защищённости объектов культуры, источником финансового  обеспечения которых являются средства бюджета с учетом </w:t>
      </w:r>
      <w:proofErr w:type="spellStart"/>
      <w:r>
        <w:rPr>
          <w:sz w:val="24"/>
          <w:szCs w:val="24"/>
        </w:rPr>
        <w:t>софинансирования</w:t>
      </w:r>
      <w:proofErr w:type="spellEnd"/>
    </w:p>
    <w:p w:rsidR="00AC3979" w:rsidRDefault="00AC3979" w:rsidP="00AC3979">
      <w:pPr>
        <w:pStyle w:val="Style4"/>
        <w:widowControl/>
        <w:spacing w:line="240" w:lineRule="auto"/>
        <w:ind w:left="45" w:firstLine="720"/>
      </w:pPr>
      <w:r>
        <w:lastRenderedPageBreak/>
        <w:t xml:space="preserve"> - иные закупки товаров, работ и услуг для обеспечения государственных (муниципальных) нужд</w:t>
      </w:r>
    </w:p>
    <w:p w:rsidR="00AC3979" w:rsidRPr="00AC3979" w:rsidRDefault="00AC3979" w:rsidP="00AC3979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FE4BC0" w:rsidRDefault="00FE4BC0" w:rsidP="00FE4BC0">
      <w:pPr>
        <w:pStyle w:val="Style4"/>
        <w:widowControl/>
        <w:spacing w:line="240" w:lineRule="auto"/>
        <w:ind w:left="45" w:firstLine="720"/>
      </w:pPr>
      <w:r>
        <w:t xml:space="preserve">- иные закупки товаров, работ и услуг для обеспечения государственных (муниципальных) нужд </w:t>
      </w:r>
    </w:p>
    <w:p w:rsidR="00FE4BC0" w:rsidRDefault="00FE4BC0" w:rsidP="00FE4BC0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FE4BC0" w:rsidRDefault="00FE4BC0" w:rsidP="00FE4BC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BC0" w:rsidRDefault="00FE4BC0" w:rsidP="00FE4B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FE4BC0" w:rsidRDefault="00FE4BC0" w:rsidP="00FE4BC0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Сроки реализации Программы: 2014-2026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Pr="00E75965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FE4BC0">
        <w:rPr>
          <w:b/>
          <w:sz w:val="24"/>
          <w:szCs w:val="24"/>
        </w:rPr>
        <w:t>84</w:t>
      </w:r>
      <w:r w:rsidR="009D06EA">
        <w:rPr>
          <w:b/>
          <w:sz w:val="24"/>
          <w:szCs w:val="24"/>
        </w:rPr>
        <w:t> 963,7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p w:rsidR="00AC3979" w:rsidRPr="00625C89" w:rsidRDefault="00AC3979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996"/>
        <w:gridCol w:w="1272"/>
        <w:gridCol w:w="4342"/>
        <w:gridCol w:w="1045"/>
        <w:gridCol w:w="1131"/>
      </w:tblGrid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5C89" w:rsidRDefault="0038365F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10204,1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7976,0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7796,0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953E9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A34583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A34583">
            <w:pPr>
              <w:pStyle w:val="21"/>
              <w:spacing w:line="240" w:lineRule="auto"/>
              <w:ind w:left="0"/>
            </w:pPr>
            <w: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Pr="006249C9" w:rsidRDefault="0038365F" w:rsidP="00A34583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8138,7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r>
              <w:t>8138,7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38365F" w:rsidTr="0038365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8309,6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r>
              <w:t>8309,6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5F" w:rsidRDefault="0038365F" w:rsidP="00FE4BC0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E75965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          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Pr="0068730F">
        <w:rPr>
          <w:sz w:val="24"/>
          <w:szCs w:val="24"/>
        </w:rPr>
        <w:t xml:space="preserve"> Югское</w:t>
      </w:r>
    </w:p>
    <w:p w:rsidR="003A07C5" w:rsidRPr="0068730F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7E3329" w:rsidP="0068730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</w:p>
          <w:p w:rsidR="0051666E" w:rsidRDefault="00FE4BC0" w:rsidP="0068730F">
            <w:pPr>
              <w:rPr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Л.А.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057"/>
        <w:gridCol w:w="975"/>
        <w:gridCol w:w="1066"/>
        <w:gridCol w:w="1092"/>
        <w:gridCol w:w="1019"/>
        <w:gridCol w:w="1406"/>
        <w:gridCol w:w="1213"/>
      </w:tblGrid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8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E4BC0" w:rsidRPr="004815BE" w:rsidRDefault="00FE4BC0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E4BC0" w:rsidRPr="004815BE" w:rsidTr="00FE4BC0">
        <w:trPr>
          <w:cantSplit/>
          <w:trHeight w:val="300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FE4BC0" w:rsidRPr="004815BE" w:rsidTr="00FE4BC0">
        <w:trPr>
          <w:trHeight w:val="30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E4BC0" w:rsidRPr="004815BE" w:rsidTr="00FE4BC0">
        <w:trPr>
          <w:trHeight w:val="39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rPr>
                <w:sz w:val="22"/>
                <w:szCs w:val="22"/>
              </w:rPr>
            </w:pPr>
          </w:p>
          <w:p w:rsidR="00FE4BC0" w:rsidRDefault="00FE4BC0" w:rsidP="00D0212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FE4BC0" w:rsidRDefault="00FE4BC0" w:rsidP="00D02128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Абрамянц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А.А.</w:t>
            </w:r>
          </w:p>
          <w:p w:rsidR="00FE4BC0" w:rsidRPr="004815BE" w:rsidRDefault="00FE4BC0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4815B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9D06EA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FE4BC0" w:rsidP="00F77DE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FE4BC0">
              <w:rPr>
                <w:sz w:val="22"/>
                <w:szCs w:val="22"/>
              </w:rPr>
              <w:t>6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  <w:gridCol w:w="886"/>
      </w:tblGrid>
      <w:tr w:rsidR="00FE4BC0" w:rsidRPr="00FD76AE" w:rsidTr="00FE4BC0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FE4BC0" w:rsidRPr="00FD76AE" w:rsidTr="00FE4BC0">
        <w:trPr>
          <w:cantSplit/>
          <w:trHeight w:val="667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FE4BC0" w:rsidRDefault="00FE4BC0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FE4BC0" w:rsidRPr="00FD76AE" w:rsidTr="00FE4BC0">
        <w:trPr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E4BC0" w:rsidRPr="00FD76AE" w:rsidTr="00FE4BC0">
        <w:trPr>
          <w:trHeight w:val="336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BF600B" w:rsidRDefault="00FE4BC0" w:rsidP="00FE4B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6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  <w:p w:rsidR="00FE4BC0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  <w:tr w:rsidR="009D06EA" w:rsidRPr="00FD76AE" w:rsidTr="00D72A9A">
        <w:trPr>
          <w:cantSplit/>
          <w:trHeight w:val="1031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FD76AE" w:rsidRDefault="009D06EA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9D06EA" w:rsidRPr="00FD76AE" w:rsidRDefault="009D06EA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9D06EA" w:rsidRPr="00BF600B" w:rsidRDefault="009D06EA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FD76AE" w:rsidRDefault="009D06EA" w:rsidP="00E8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AC3979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7796,0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</w:p>
          <w:p w:rsidR="009D06EA" w:rsidRDefault="009D06EA" w:rsidP="00A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8309,6</w:t>
            </w:r>
          </w:p>
        </w:tc>
      </w:tr>
      <w:tr w:rsidR="00FE4BC0" w:rsidRPr="00FD76AE" w:rsidTr="00FE4BC0">
        <w:trPr>
          <w:cantSplit/>
          <w:trHeight w:val="1031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FE4BC0" w:rsidRDefault="00FE4BC0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FE4BC0" w:rsidRDefault="00FE4BC0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AC397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FE4BC0" w:rsidRPr="00FD76AE" w:rsidTr="00FE4BC0">
        <w:trPr>
          <w:cantSplit/>
          <w:trHeight w:val="300"/>
          <w:jc w:val="center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FE4BC0" w:rsidRPr="00BF600B" w:rsidRDefault="00FE4BC0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FD76AE" w:rsidRDefault="00FE4BC0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6"/>
        <w:gridCol w:w="494"/>
        <w:gridCol w:w="251"/>
        <w:gridCol w:w="316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850"/>
        <w:gridCol w:w="851"/>
      </w:tblGrid>
      <w:tr w:rsidR="00FE4BC0" w:rsidRPr="006F6E02" w:rsidTr="00B0385B">
        <w:trPr>
          <w:cantSplit/>
          <w:trHeight w:val="30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15360E" w:rsidRDefault="00FE4BC0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>
              <w:rPr>
                <w:rFonts w:cs="Calibri"/>
                <w:sz w:val="16"/>
                <w:szCs w:val="16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В.</w:t>
            </w:r>
            <w:proofErr w:type="gramStart"/>
            <w:r>
              <w:rPr>
                <w:rFonts w:cs="Calibri"/>
                <w:sz w:val="16"/>
                <w:szCs w:val="16"/>
              </w:rPr>
              <w:t>С</w:t>
            </w:r>
            <w:proofErr w:type="gramEnd"/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FE4BC0" w:rsidRPr="006F6E02" w:rsidTr="00B0385B">
        <w:trPr>
          <w:cantSplit/>
          <w:trHeight w:val="113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4BC0" w:rsidRPr="0051666E" w:rsidRDefault="00FE4BC0" w:rsidP="00FE4BC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6F6E02" w:rsidRDefault="00FE4BC0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Default="00FE4BC0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D06EA" w:rsidRPr="006F6E02" w:rsidTr="00AC3979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6F6E02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5707,1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AE734D">
            <w:pPr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10861,1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7976,0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8309,6</w:t>
            </w:r>
          </w:p>
        </w:tc>
      </w:tr>
      <w:tr w:rsidR="009D06EA" w:rsidRPr="006F6E02" w:rsidTr="00AC3979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9D06EA" w:rsidRPr="006F6E02" w:rsidRDefault="009D06EA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6080,0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5696,1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6910,7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7283,9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EA" w:rsidRPr="00B0385B" w:rsidRDefault="009D06EA" w:rsidP="00E87B54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Default="009D06EA" w:rsidP="00FE4BC0">
            <w:pPr>
              <w:jc w:val="center"/>
              <w:rPr>
                <w:sz w:val="18"/>
                <w:szCs w:val="18"/>
              </w:rPr>
            </w:pPr>
          </w:p>
          <w:p w:rsidR="009D06EA" w:rsidRDefault="00690397" w:rsidP="00FE4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</w:p>
          <w:p w:rsidR="009D06EA" w:rsidRPr="009D06EA" w:rsidRDefault="009D06EA" w:rsidP="00AC3979">
            <w:pPr>
              <w:jc w:val="center"/>
              <w:rPr>
                <w:sz w:val="18"/>
                <w:szCs w:val="18"/>
              </w:rPr>
            </w:pPr>
            <w:r w:rsidRPr="009D06EA">
              <w:rPr>
                <w:sz w:val="18"/>
                <w:szCs w:val="18"/>
              </w:rPr>
              <w:t>8309,6</w:t>
            </w: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89,8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150,0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280,0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D02128">
            <w:pPr>
              <w:jc w:val="center"/>
              <w:rPr>
                <w:sz w:val="16"/>
                <w:szCs w:val="16"/>
              </w:rPr>
            </w:pPr>
            <w:r w:rsidRPr="00B0385B">
              <w:rPr>
                <w:sz w:val="16"/>
                <w:szCs w:val="16"/>
              </w:rPr>
              <w:t>3577,2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B0385B" w:rsidRDefault="00FE4BC0" w:rsidP="0051666E">
            <w:pPr>
              <w:jc w:val="center"/>
              <w:rPr>
                <w:sz w:val="18"/>
                <w:szCs w:val="18"/>
              </w:rPr>
            </w:pPr>
            <w:r w:rsidRPr="00B0385B">
              <w:rPr>
                <w:sz w:val="18"/>
                <w:szCs w:val="18"/>
              </w:rPr>
              <w:t>402,5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690397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FE4BC0" w:rsidRPr="006F6E02" w:rsidTr="00B0385B">
        <w:trPr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6F6E02" w:rsidRDefault="00FE4BC0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C0" w:rsidRPr="0051666E" w:rsidRDefault="00FE4BC0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487"/>
        <w:gridCol w:w="503"/>
        <w:gridCol w:w="519"/>
        <w:gridCol w:w="519"/>
        <w:gridCol w:w="535"/>
        <w:gridCol w:w="500"/>
        <w:gridCol w:w="605"/>
        <w:gridCol w:w="616"/>
        <w:gridCol w:w="504"/>
        <w:gridCol w:w="567"/>
        <w:gridCol w:w="567"/>
        <w:gridCol w:w="567"/>
        <w:gridCol w:w="567"/>
      </w:tblGrid>
      <w:tr w:rsidR="00B0385B" w:rsidRPr="0034108F" w:rsidTr="00AC3979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56" w:type="dxa"/>
            <w:gridSpan w:val="13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B0385B" w:rsidRPr="0034108F" w:rsidTr="00AC3979">
        <w:trPr>
          <w:cantSplit/>
          <w:trHeight w:val="198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 факт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 факт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факт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 xml:space="preserve"> </w:t>
            </w:r>
            <w:r w:rsidRPr="002762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385B" w:rsidRPr="00276203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 факт</w:t>
            </w:r>
          </w:p>
        </w:tc>
        <w:tc>
          <w:tcPr>
            <w:tcW w:w="567" w:type="dxa"/>
            <w:textDirection w:val="btLr"/>
          </w:tcPr>
          <w:p w:rsidR="00B0385B" w:rsidRDefault="00B0385B" w:rsidP="00B0385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год, план</w:t>
            </w:r>
          </w:p>
        </w:tc>
        <w:tc>
          <w:tcPr>
            <w:tcW w:w="567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567" w:type="dxa"/>
            <w:textDirection w:val="btLr"/>
          </w:tcPr>
          <w:p w:rsidR="00B0385B" w:rsidRDefault="00B0385B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прогноз</w:t>
            </w:r>
          </w:p>
        </w:tc>
      </w:tr>
      <w:tr w:rsidR="00B0385B" w:rsidRPr="0034108F" w:rsidTr="00AC3979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B0385B" w:rsidRPr="008B48D6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0385B" w:rsidRPr="0034108F" w:rsidTr="00AC3979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расширение перечня услуг, предоставляемых учреждением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населению;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B0385B" w:rsidRPr="005059E5" w:rsidRDefault="00B0385B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B0385B" w:rsidRPr="0034108F" w:rsidRDefault="00B0385B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9A2313" w:rsidRDefault="00B0385B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0385B" w:rsidRPr="0034108F" w:rsidTr="00AC3979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B0385B" w:rsidRPr="003E0250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0385B" w:rsidRPr="0034108F" w:rsidTr="00AC3979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0385B" w:rsidRPr="0034108F" w:rsidTr="00AC3979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E07FEC" w:rsidRDefault="00B0385B" w:rsidP="008B48D6">
            <w:r>
              <w:t>доля мероприятий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0385B" w:rsidRPr="0034108F" w:rsidTr="00AC3979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B0385B" w:rsidRPr="0034108F" w:rsidTr="00AC3979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D71277" w:rsidRDefault="00B0385B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385B" w:rsidRPr="00276203" w:rsidRDefault="00B0385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0385B" w:rsidRDefault="00B0385B" w:rsidP="006A14E9">
            <w:pPr>
              <w:jc w:val="center"/>
              <w:rPr>
                <w:sz w:val="18"/>
                <w:szCs w:val="18"/>
              </w:rPr>
            </w:pPr>
          </w:p>
        </w:tc>
      </w:tr>
      <w:tr w:rsidR="00B0385B" w:rsidRPr="0034108F" w:rsidTr="00AC3979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385B" w:rsidRPr="0034108F" w:rsidRDefault="00B0385B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B0385B" w:rsidRPr="00E75965" w:rsidRDefault="00B0385B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03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B0385B" w:rsidRPr="00276203" w:rsidRDefault="00B0385B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385B" w:rsidRPr="00276203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extDirection w:val="btLr"/>
          </w:tcPr>
          <w:p w:rsidR="00B0385B" w:rsidRDefault="00B0385B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50808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1E6629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8365F"/>
    <w:rsid w:val="003A07C5"/>
    <w:rsid w:val="003B03B2"/>
    <w:rsid w:val="003B0673"/>
    <w:rsid w:val="003E0250"/>
    <w:rsid w:val="00404698"/>
    <w:rsid w:val="00406BB8"/>
    <w:rsid w:val="00412114"/>
    <w:rsid w:val="00415912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622872"/>
    <w:rsid w:val="00625C89"/>
    <w:rsid w:val="00666869"/>
    <w:rsid w:val="006714B4"/>
    <w:rsid w:val="0068730F"/>
    <w:rsid w:val="00690397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C24A8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06EA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C3979"/>
    <w:rsid w:val="00AE28AF"/>
    <w:rsid w:val="00AE734D"/>
    <w:rsid w:val="00AF4709"/>
    <w:rsid w:val="00B0385B"/>
    <w:rsid w:val="00B4646B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72A9A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48F9-D461-4E56-A6A2-24560F35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2022-02-07T08:33:00Z</cp:lastPrinted>
  <dcterms:created xsi:type="dcterms:W3CDTF">2024-08-07T07:20:00Z</dcterms:created>
  <dcterms:modified xsi:type="dcterms:W3CDTF">2024-08-07T07:20:00Z</dcterms:modified>
</cp:coreProperties>
</file>