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jc w:val="center"/>
        <w:rPr>
          <w:rFonts w:ascii="PT Astra Serif" w:hAnsi="PT Astra Serif" w:eastAsia="PT Astra Serif" w:cs="PT Astra Serif"/>
          <w:b/>
          <w:bCs/>
          <w:color w:val="000000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color w:val="000000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88390" cy="4895850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4225566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rcRect l="0" t="9002" r="-807" b="8582"/>
                        <a:stretch/>
                      </pic:blipFill>
                      <pic:spPr bwMode="auto">
                        <a:xfrm flipH="0" flipV="0">
                          <a:off x="0" y="0"/>
                          <a:ext cx="5988389" cy="48958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1.53pt;height:385.50pt;mso-wrap-distance-left:0.00pt;mso-wrap-distance-top:0.00pt;mso-wrap-distance-right:0.00pt;mso-wrap-distance-bottom:0.00pt;" stroked="false">
                <v:path textboxrect="0,0,0,0"/>
                <v:imagedata r:id="rId9" o:title=""/>
              </v:shape>
            </w:pict>
          </mc:Fallback>
        </mc:AlternateContent>
      </w:r>
      <w:r>
        <w:rPr>
          <w:rFonts w:ascii="PT Astra Serif" w:hAnsi="PT Astra Serif" w:eastAsia="PT Astra Serif" w:cs="PT Astra Serif"/>
          <w:b/>
          <w:bCs/>
          <w:color w:val="000000"/>
          <w:sz w:val="28"/>
          <w:szCs w:val="28"/>
          <w:highlight w:val="none"/>
        </w:rPr>
      </w:r>
      <w:r/>
      <w:r>
        <w:rPr>
          <w:rFonts w:ascii="PT Astra Serif" w:hAnsi="PT Astra Serif" w:eastAsia="PT Astra Serif" w:cs="PT Astra Serif"/>
          <w:b/>
          <w:bCs/>
          <w:color w:val="000000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color w:val="000000"/>
          <w:sz w:val="28"/>
          <w:szCs w:val="28"/>
          <w:highlight w:val="none"/>
        </w:rPr>
      </w:r>
    </w:p>
    <w:p>
      <w:pPr>
        <w:jc w:val="center"/>
        <w:rPr>
          <w:rFonts w:ascii="PT Astra Serif" w:hAnsi="PT Astra Serif" w:eastAsia="PT Astra Serif" w:cs="PT Astra Serif"/>
          <w:b/>
          <w:bCs/>
          <w:color w:val="000000"/>
          <w:sz w:val="28"/>
          <w:szCs w:val="28"/>
          <w:highlight w:val="none"/>
        </w:rPr>
      </w:pPr>
      <w:r>
        <w:rPr>
          <w:rFonts w:ascii="PT Astra Serif" w:hAnsi="PT Astra Serif" w:eastAsia="PT Astra Serif" w:cs="PT Astra Serif"/>
          <w:b/>
          <w:bCs/>
          <w:color w:val="000000"/>
          <w:sz w:val="28"/>
          <w:szCs w:val="28"/>
          <w:highlight w:val="none"/>
        </w:rPr>
        <w:t xml:space="preserve">Рассчитать размер госпошлины за совершение сделок с недвижимостью поможет «Калькулятор госпошлины»</w:t>
      </w:r>
      <w:r>
        <w:rPr>
          <w:rFonts w:ascii="PT Astra Serif" w:hAnsi="PT Astra Serif" w:eastAsia="PT Astra Serif" w:cs="PT Astra Serif"/>
          <w:b/>
          <w:bCs/>
          <w:color w:val="000000"/>
          <w:sz w:val="28"/>
          <w:szCs w:val="28"/>
          <w:highlight w:val="none"/>
        </w:rPr>
      </w:r>
      <w:r>
        <w:rPr>
          <w:rFonts w:ascii="PT Astra Serif" w:hAnsi="PT Astra Serif" w:eastAsia="PT Astra Serif" w:cs="PT Astra Serif"/>
          <w:b/>
          <w:bCs/>
          <w:color w:val="000000"/>
          <w:sz w:val="28"/>
          <w:szCs w:val="28"/>
          <w:highlight w:val="none"/>
        </w:rPr>
      </w:r>
    </w:p>
    <w:p>
      <w:pPr>
        <w:ind w:firstLine="708"/>
        <w:jc w:val="both"/>
        <w:spacing w:before="0" w:beforeAutospacing="0" w:after="0" w:afterAutospacing="0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</w:rPr>
        <w:t xml:space="preserve">Практический каждый вологжанин сталкивается в своей жизни с необходимостью проведения операций с объектами недвижимого имущества. 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</w:rPr>
        <w:t xml:space="preserve">Приобретение 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недвижимости сопровождается дополнительными расходами и обязательной статьей затрат здесь является оплата государственной пошлины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</w:rPr>
        <w:t xml:space="preserve">.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</w:rPr>
        <w:t xml:space="preserve"> 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</w:rPr>
        <w:t xml:space="preserve">Размеры госпошлины установлены налоговым законодательством и зависят от 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  <w:t xml:space="preserve">статуса плательщика (физическое или юридическое лицо), от типа недвиж</w:t>
      </w:r>
      <w:r>
        <w:rPr>
          <w:rFonts w:ascii="PT Astra Serif" w:hAnsi="PT Astra Serif" w:eastAsia="PT Astra Serif" w:cs="PT Astra Serif"/>
          <w:color w:val="auto"/>
          <w:sz w:val="28"/>
          <w:szCs w:val="28"/>
          <w:highlight w:val="white"/>
        </w:rPr>
        <w:t xml:space="preserve">имости и характера учетно-регис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трационных действий.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before="0" w:beforeAutospacing="0" w:after="0" w:afterAutospacing="0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Оперативно рассчитать размер госпошлины за сделки с недвижимостью поможет 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ц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ифровой онлайн-сервис Росреестра «Калькулятор госпошлины»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.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before="0" w:beforeAutospacing="0" w:after="0" w:afterAutospacing="0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  <w14:ligatures w14:val="none"/>
        </w:rP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«</w:t>
      </w:r>
      <w:r>
        <w:rPr>
          <w:rFonts w:ascii="PT Astra Serif" w:hAnsi="PT Astra Serif" w:eastAsia="PT Astra Serif" w:cs="PT Astra Serif"/>
          <w:b w:val="0"/>
          <w:bCs w:val="0"/>
          <w:i/>
          <w:iCs/>
          <w:color w:val="auto"/>
          <w:sz w:val="28"/>
          <w:szCs w:val="28"/>
          <w:highlight w:val="white"/>
        </w:rPr>
        <w:t xml:space="preserve">Воспользоваться данным сервисом можно</w:t>
      </w:r>
      <w:r>
        <w:rPr>
          <w:rFonts w:ascii="PT Astra Serif" w:hAnsi="PT Astra Serif" w:eastAsia="PT Astra Serif" w:cs="PT Astra Serif"/>
          <w:b w:val="0"/>
          <w:bCs w:val="0"/>
          <w:i/>
          <w:iCs/>
          <w:color w:val="auto"/>
          <w:sz w:val="28"/>
          <w:szCs w:val="28"/>
          <w:highlight w:val="white"/>
        </w:rPr>
        <w:t xml:space="preserve"> </w:t>
      </w:r>
      <w:r>
        <w:rPr>
          <w:rFonts w:ascii="PT Astra Serif" w:hAnsi="PT Astra Serif" w:eastAsia="PT Astra Serif" w:cs="PT Astra Serif"/>
          <w:b w:val="0"/>
          <w:bCs w:val="0"/>
          <w:i/>
          <w:iCs/>
          <w:color w:val="auto"/>
          <w:sz w:val="28"/>
          <w:szCs w:val="28"/>
          <w:highlight w:val="white"/>
        </w:rPr>
        <w:t xml:space="preserve">на сайт</w:t>
      </w:r>
      <w:r>
        <w:rPr>
          <w:rFonts w:ascii="PT Astra Serif" w:hAnsi="PT Astra Serif" w:eastAsia="PT Astra Serif" w:cs="PT Astra Serif"/>
          <w:b w:val="0"/>
          <w:bCs w:val="0"/>
          <w:i/>
          <w:iCs/>
          <w:color w:val="auto"/>
          <w:sz w:val="28"/>
          <w:szCs w:val="28"/>
          <w:highlight w:val="white"/>
        </w:rPr>
        <w:t xml:space="preserve">е Росреестра в разделе «Электронные услуги и сервисы» или по ссылке:</w:t>
      </w:r>
      <w:r>
        <w:rPr>
          <w:rFonts w:ascii="PT Astra Serif" w:hAnsi="PT Astra Serif" w:eastAsia="PT Astra Serif" w:cs="PT Astra Serif"/>
          <w:b w:val="0"/>
          <w:bCs w:val="0"/>
          <w:i/>
          <w:iCs/>
          <w:color w:val="auto"/>
          <w:sz w:val="28"/>
          <w:szCs w:val="28"/>
          <w:highlight w:val="white"/>
        </w:rPr>
        <w:t xml:space="preserve"> </w:t>
      </w:r>
      <w:r>
        <w:rPr>
          <w:rFonts w:ascii="PT Astra Serif" w:hAnsi="PT Astra Serif" w:eastAsia="PT Astra Serif" w:cs="PT Astra Serif"/>
          <w:b w:val="0"/>
          <w:bCs w:val="0"/>
          <w:i/>
          <w:iCs/>
          <w:color w:val="auto"/>
          <w:sz w:val="28"/>
          <w:szCs w:val="28"/>
          <w:highlight w:val="white"/>
        </w:rPr>
      </w:r>
      <w:hyperlink r:id="rId10" w:tooltip="https://rosreestr.gov.ru/eservices/services/calculator-state-duty/" w:history="1">
        <w:r>
          <w:rPr>
            <w:rFonts w:ascii="PT Astra Serif" w:hAnsi="PT Astra Serif" w:eastAsia="PT Astra Serif" w:cs="PT Astra Serif"/>
            <w:b w:val="0"/>
            <w:bCs w:val="0"/>
            <w:i/>
            <w:iCs/>
            <w:color w:val="auto"/>
            <w:sz w:val="28"/>
            <w:szCs w:val="28"/>
            <w:highlight w:val="white"/>
          </w:rPr>
          <w:t xml:space="preserve">https://rosreestr.gov.ru/eservices/services/calculator-state-duty/</w:t>
        </w:r>
        <w:r>
          <w:rPr>
            <w:rFonts w:ascii="PT Astra Serif" w:hAnsi="PT Astra Serif" w:eastAsia="PT Astra Serif" w:cs="PT Astra Serif"/>
            <w:b w:val="0"/>
            <w:bCs w:val="0"/>
            <w:i/>
            <w:iCs/>
            <w:color w:val="auto"/>
            <w:sz w:val="28"/>
            <w:szCs w:val="28"/>
            <w:highlight w:val="white"/>
          </w:rPr>
        </w:r>
        <w:r>
          <w:rPr>
            <w:rFonts w:ascii="PT Astra Serif" w:hAnsi="PT Astra Serif" w:eastAsia="PT Astra Serif" w:cs="PT Astra Serif"/>
            <w:b w:val="0"/>
            <w:bCs w:val="0"/>
            <w:i/>
            <w:iCs/>
            <w:color w:val="auto"/>
            <w:sz w:val="28"/>
            <w:szCs w:val="28"/>
            <w:highlight w:val="white"/>
          </w:rPr>
          <w:t xml:space="preserve"> </w:t>
        </w:r>
      </w:hyperlink>
      <w:r>
        <w:rPr>
          <w:rFonts w:ascii="PT Astra Serif" w:hAnsi="PT Astra Serif" w:eastAsia="PT Astra Serif" w:cs="PT Astra Serif"/>
          <w:b w:val="0"/>
          <w:bCs w:val="0"/>
          <w:i/>
          <w:iCs/>
          <w:color w:val="auto"/>
          <w:sz w:val="28"/>
          <w:szCs w:val="28"/>
          <w:highlight w:val="white"/>
        </w:rPr>
        <w:t xml:space="preserve">Калькулятор работает в режиме онлайн и для работы с ним </w:t>
      </w:r>
      <w:r>
        <w:rPr>
          <w:rFonts w:ascii="PT Astra Serif" w:hAnsi="PT Astra Serif" w:eastAsia="PT Astra Serif" w:cs="PT Astra Serif"/>
          <w:b w:val="0"/>
          <w:bCs w:val="0"/>
          <w:i/>
          <w:iCs/>
          <w:color w:val="auto"/>
          <w:sz w:val="28"/>
          <w:szCs w:val="28"/>
          <w:highlight w:val="white"/>
        </w:rPr>
        <w:t xml:space="preserve">авторизация на портале Росреестра не требуется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», – отметил 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з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аместитель Губернатора области, заместитель председателя Вологодского регионального отделения Ассоциации юристов России </w:t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white"/>
        </w:rPr>
        <w:t xml:space="preserve">Сергей Сорокин</w:t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white"/>
        </w:rPr>
        <w:t xml:space="preserve">.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before="0" w:beforeAutospacing="0" w:after="0" w:afterAutospacing="0"/>
        <w:rPr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</w:rPr>
        <w:t xml:space="preserve">«</w:t>
      </w:r>
      <w:r>
        <w:rPr>
          <w:rFonts w:ascii="PT Astra Serif" w:hAnsi="PT Astra Serif" w:eastAsia="PT Astra Serif" w:cs="PT Astra Serif"/>
          <w:b w:val="0"/>
          <w:bCs w:val="0"/>
          <w:i/>
          <w:iCs/>
          <w:color w:val="auto"/>
          <w:sz w:val="28"/>
          <w:szCs w:val="28"/>
          <w:highlight w:val="white"/>
        </w:rPr>
        <w:t xml:space="preserve">Для расчета госпошлины с помощью сервиса, необходимо заполнить форму: выбрать тип регистрационного действия, заявителя, указать кадастровый номер, объект и так далее. В некоторых случаях могут потребоваться и другие данные</w:t>
      </w:r>
      <w:r>
        <w:rPr>
          <w:rFonts w:ascii="PT Astra Serif" w:hAnsi="PT Astra Serif" w:eastAsia="PT Astra Serif" w:cs="PT Astra Serif"/>
          <w:b w:val="0"/>
          <w:bCs w:val="0"/>
          <w:i/>
          <w:iCs/>
          <w:color w:val="auto"/>
          <w:sz w:val="28"/>
          <w:szCs w:val="28"/>
          <w:highlight w:val="none"/>
        </w:rPr>
        <w:t xml:space="preserve">, </w:t>
      </w:r>
      <w:r>
        <w:rPr>
          <w:rFonts w:ascii="PT Astra Serif" w:hAnsi="PT Astra Serif" w:eastAsia="PT Astra Serif" w:cs="PT Astra Serif"/>
          <w:i/>
          <w:iCs/>
          <w:color w:val="000000"/>
          <w:sz w:val="28"/>
          <w:szCs w:val="28"/>
        </w:rPr>
        <w:t xml:space="preserve">связанные с объектом недвижимости либо субъектом прав: например, что земельный участок относи</w:t>
      </w:r>
      <w:r>
        <w:rPr>
          <w:rFonts w:ascii="PT Astra Serif" w:hAnsi="PT Astra Serif" w:eastAsia="PT Astra Serif" w:cs="PT Astra Serif"/>
          <w:i/>
          <w:iCs/>
          <w:color w:val="auto"/>
          <w:sz w:val="28"/>
          <w:szCs w:val="28"/>
        </w:rPr>
        <w:t xml:space="preserve">тся к землям сельскохозяйственного назначения, помещение является общим имуществом в МКД.</w:t>
      </w:r>
      <w:r>
        <w:rPr>
          <w:rFonts w:ascii="PT Astra Serif" w:hAnsi="PT Astra Serif" w:eastAsia="PT Astra Serif" w:cs="PT Astra Serif"/>
          <w:b w:val="0"/>
          <w:bCs w:val="0"/>
          <w:i/>
          <w:iCs/>
          <w:color w:val="auto"/>
          <w:sz w:val="28"/>
          <w:szCs w:val="28"/>
          <w:highlight w:val="none"/>
        </w:rPr>
        <w:t xml:space="preserve"> </w:t>
      </w:r>
      <w:r>
        <w:rPr>
          <w:rFonts w:ascii="PT Astra Serif" w:hAnsi="PT Astra Serif" w:eastAsia="PT Astra Serif" w:cs="PT Astra Serif"/>
          <w:b w:val="0"/>
          <w:bCs w:val="0"/>
          <w:i/>
          <w:iCs/>
          <w:color w:val="auto"/>
          <w:sz w:val="28"/>
          <w:szCs w:val="28"/>
          <w:highlight w:val="white"/>
        </w:rPr>
        <w:t xml:space="preserve">О</w:t>
      </w:r>
      <w:r>
        <w:rPr>
          <w:rFonts w:ascii="PT Astra Serif" w:hAnsi="PT Astra Serif" w:eastAsia="PT Astra Serif" w:cs="PT Astra Serif"/>
          <w:b w:val="0"/>
          <w:bCs w:val="0"/>
          <w:i/>
          <w:iCs/>
          <w:color w:val="auto"/>
          <w:sz w:val="28"/>
          <w:szCs w:val="28"/>
          <w:highlight w:val="white"/>
        </w:rPr>
        <w:t xml:space="preserve">бязательные для зап</w:t>
      </w:r>
      <w:r>
        <w:rPr>
          <w:rFonts w:ascii="PT Astra Serif" w:hAnsi="PT Astra Serif" w:eastAsia="PT Astra Serif" w:cs="PT Astra Serif"/>
          <w:b w:val="0"/>
          <w:bCs w:val="0"/>
          <w:i/>
          <w:iCs/>
          <w:color w:val="auto"/>
          <w:sz w:val="28"/>
          <w:szCs w:val="28"/>
          <w:highlight w:val="white"/>
        </w:rPr>
        <w:t xml:space="preserve">олнения поля отмечены звездочкой.</w:t>
      </w:r>
      <w:r>
        <w:rPr>
          <w:rFonts w:ascii="PT Astra Serif" w:hAnsi="PT Astra Serif" w:eastAsia="PT Astra Serif" w:cs="PT Astra Serif"/>
          <w:i/>
          <w:iCs/>
          <w:color w:val="auto"/>
          <w:sz w:val="28"/>
          <w:szCs w:val="28"/>
        </w:rPr>
        <w:t xml:space="preserve"> Калькулятор госпошлины </w:t>
      </w:r>
      <w:r>
        <w:rPr>
          <w:rFonts w:ascii="PT Astra Serif" w:hAnsi="PT Astra Serif" w:eastAsia="PT Astra Serif" w:cs="PT Astra Serif"/>
          <w:i/>
          <w:iCs/>
          <w:color w:val="auto"/>
          <w:sz w:val="28"/>
          <w:szCs w:val="28"/>
        </w:rPr>
        <w:t xml:space="preserve">позволяет гражданам заранее узнать точный размер госпошлины, что упрощает планирование операций с объектами недвижимости</w:t>
      </w:r>
      <w:r>
        <w:rPr>
          <w:rFonts w:ascii="PT Astra Serif" w:hAnsi="PT Astra Serif" w:eastAsia="PT Astra Serif" w:cs="PT Astra Serif"/>
          <w:color w:val="auto"/>
          <w:sz w:val="28"/>
          <w:szCs w:val="28"/>
        </w:rPr>
        <w:t xml:space="preserve">», - пояснил 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руководитель Управления 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Росреестра по Вологодской области </w:t>
      </w:r>
      <w:r>
        <w:rPr>
          <w:rFonts w:ascii="PT Astra Serif" w:hAnsi="PT Astra Serif" w:eastAsia="PT Astra Serif" w:cs="PT Astra Serif"/>
          <w:b/>
          <w:bCs/>
          <w:color w:val="auto"/>
          <w:sz w:val="28"/>
          <w:szCs w:val="28"/>
          <w:highlight w:val="white"/>
        </w:rPr>
        <w:t xml:space="preserve">Дмитрий Тулин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.</w:t>
      </w:r>
      <w:r>
        <w:rPr>
          <w:highlight w:val="none"/>
          <w14:ligatures w14:val="none"/>
        </w:rPr>
      </w:r>
      <w:r>
        <w:rPr>
          <w:highlight w:val="none"/>
          <w14:ligatures w14:val="none"/>
        </w:rPr>
      </w:r>
    </w:p>
    <w:p>
      <w:pPr>
        <w:ind w:firstLine="708"/>
        <w:jc w:val="both"/>
        <w:spacing w:before="0" w:beforeAutospacing="0" w:after="0" w:afterAutospacing="0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С информацией о рекв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изитах для оплаты госпошлины вологжане могут ознакомиться по ссылке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: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</w:r>
      <w:hyperlink r:id="rId11" w:tooltip="https://vk.com/topic-196614105_48474281" w:history="1">
        <w:r>
          <w:rPr>
            <w:rFonts w:ascii="PT Astra Serif" w:hAnsi="PT Astra Serif" w:eastAsia="PT Astra Serif" w:cs="PT Astra Serif"/>
            <w:b w:val="0"/>
            <w:bCs w:val="0"/>
            <w:color w:val="auto"/>
            <w:sz w:val="28"/>
            <w:szCs w:val="28"/>
            <w:highlight w:val="white"/>
          </w:rPr>
          <w:t xml:space="preserve">https://vk.com/topic-196614105_48474281</w:t>
        </w:r>
        <w:r>
          <w:rPr>
            <w:rFonts w:ascii="PT Astra Serif" w:hAnsi="PT Astra Serif" w:eastAsia="PT Astra Serif" w:cs="PT Astra Serif"/>
            <w:b w:val="0"/>
            <w:bCs w:val="0"/>
            <w:color w:val="auto"/>
            <w:sz w:val="28"/>
            <w:szCs w:val="28"/>
            <w:highlight w:val="white"/>
          </w:rPr>
        </w:r>
        <w:r>
          <w:rPr>
            <w:rFonts w:ascii="PT Astra Serif" w:hAnsi="PT Astra Serif" w:eastAsia="PT Astra Serif" w:cs="PT Astra Serif"/>
            <w:b w:val="0"/>
            <w:bCs w:val="0"/>
            <w:color w:val="auto"/>
            <w:sz w:val="28"/>
            <w:szCs w:val="28"/>
            <w:highlight w:val="white"/>
          </w:rPr>
        </w:r>
      </w:hyperlink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.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before="0" w:beforeAutospacing="0" w:after="0" w:afterAutospacing="0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</w:rPr>
        <w:t xml:space="preserve">Обращаем внимание, в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 соответствии с положениями ст. 333.35 НК РФ от уплаты государственной пошлины освобождаются следующ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и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е категории граждан:</w:t>
        <w:br/>
        <w:tab/>
        <w:t xml:space="preserve">- ветераны и инвалиды Великой Отечественной войны, бывшие узники фашистских концлагерей, гетто и других мест принудительного содержания, созданных немецкими фашистами и их союзниками в период Второй мировой войны, бывшие военнопленные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 во время ВОВ на основании соответствующего удостоверения установленного образца;</w:t>
        <w:br/>
        <w:tab/>
        <w:t xml:space="preserve">- граждане, признаваемые малоимущими в соответствии с Жилищным кодексом России. 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before="0" w:beforeAutospacing="0" w:after="0" w:afterAutospacing="0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-  физические лица, пострадавшие в результате чрезвычайной ситуации за государственную регистрацию права собственности на жилые помещения или доли в них, при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обретенные ими в связи с реализацией мер социальной поддержки взамен жилых помещений, утраченных ими вследствие такой чрезвычайной ситуации (подпункт 16 пункта 1 статьи 333.35 НК);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  <w14:ligatures w14:val="none"/>
        </w:rPr>
      </w:r>
    </w:p>
    <w:p>
      <w:pPr>
        <w:ind w:firstLine="708"/>
        <w:jc w:val="both"/>
        <w:spacing w:before="0" w:beforeAutospacing="0" w:after="0" w:afterAutospacing="0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- граждане, являющиеся наследниками недвижимого имущества участников СВ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</w:rPr>
        <w:t xml:space="preserve">О, погибших либо умерших от полученного увечья в случаях, указанных в абзаце третьем пункта 5 статьи 333.38 НК РФ.</w:t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  <w14:ligatures w14:val="none"/>
        </w:rPr>
      </w:r>
    </w:p>
    <w:p>
      <w:pPr>
        <w:ind w:firstLine="708"/>
        <w:jc w:val="both"/>
        <w:spacing w:before="0" w:beforeAutospacing="0" w:after="0" w:afterAutospacing="0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  <w14:ligatures w14:val="none"/>
        </w:rPr>
      </w:r>
    </w:p>
    <w:p>
      <w:pPr>
        <w:spacing w:after="0" w:line="240" w:lineRule="auto"/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rPr>
          <w:highlight w:val="none"/>
        </w:rPr>
      </w:r>
      <w:r>
        <w:rPr>
          <w:highlight w:val="none"/>
        </w:rPr>
      </w:r>
    </w:p>
    <w:p>
      <w:pPr>
        <w:spacing w:after="0" w:line="240" w:lineRule="auto"/>
        <w:rPr>
          <w:highlight w:val="none"/>
        </w:rPr>
      </w:pPr>
      <w:r>
        <w:t xml:space="preserve">Контакты для СМИ:</w:t>
      </w:r>
      <w:r/>
      <w:r/>
    </w:p>
    <w:p>
      <w:pPr>
        <w:spacing w:after="0" w:line="240" w:lineRule="auto"/>
      </w:pPr>
      <w:r>
        <w:t xml:space="preserve">Пресс-служба Управления </w:t>
      </w:r>
      <w:r>
        <w:t xml:space="preserve">Росреестра</w:t>
      </w:r>
      <w:r>
        <w:t xml:space="preserve"> по Вологодской области</w:t>
      </w:r>
      <w:r/>
      <w:r/>
    </w:p>
    <w:p>
      <w:pPr>
        <w:spacing w:after="0" w:line="240" w:lineRule="auto"/>
      </w:pPr>
      <w:r>
        <w:t xml:space="preserve">(8172) 72 86 11, доб. 1045</w:t>
      </w:r>
      <w:r/>
      <w:r/>
    </w:p>
    <w:p>
      <w:pPr>
        <w:spacing w:after="0" w:line="240" w:lineRule="auto"/>
      </w:pPr>
      <w:r/>
      <w:hyperlink r:id="rId12" w:tooltip="mailto:press@r35.rosreestr.ru" w:history="1">
        <w:r>
          <w:rPr>
            <w:rStyle w:val="814"/>
            <w:lang w:val="en-US"/>
          </w:rPr>
          <w:t xml:space="preserve">press</w:t>
        </w:r>
        <w:r>
          <w:rPr>
            <w:rStyle w:val="814"/>
          </w:rPr>
          <w:t xml:space="preserve">@</w:t>
        </w:r>
        <w:r>
          <w:rPr>
            <w:rStyle w:val="814"/>
            <w:lang w:val="en-US"/>
          </w:rPr>
          <w:t xml:space="preserve">r</w:t>
        </w:r>
        <w:r>
          <w:rPr>
            <w:rStyle w:val="814"/>
          </w:rPr>
          <w:t xml:space="preserve">35.</w:t>
        </w:r>
        <w:r>
          <w:rPr>
            <w:rStyle w:val="814"/>
            <w:lang w:val="en-US"/>
          </w:rPr>
          <w:t xml:space="preserve">rosreestr</w:t>
        </w:r>
        <w:r>
          <w:rPr>
            <w:rStyle w:val="814"/>
          </w:rPr>
          <w:t xml:space="preserve">.</w:t>
        </w:r>
        <w:r>
          <w:rPr>
            <w:rStyle w:val="814"/>
            <w:lang w:val="en-US"/>
          </w:rPr>
          <w:t xml:space="preserve">ru</w:t>
        </w:r>
      </w:hyperlink>
      <w:r/>
      <w:r/>
    </w:p>
    <w:p>
      <w:pPr>
        <w:spacing w:after="0" w:line="240" w:lineRule="auto"/>
      </w:pPr>
      <w:r>
        <w:t xml:space="preserve">160001, г. Вологда, ул. Челюскинцев, д. 3</w:t>
      </w:r>
      <w:r/>
      <w:r/>
    </w:p>
    <w:p>
      <w:pPr>
        <w:ind w:firstLine="708"/>
        <w:jc w:val="both"/>
        <w:spacing w:before="0" w:beforeAutospacing="0" w:after="0" w:afterAutospacing="0"/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  <w14:ligatures w14:val="none"/>
        </w:rPr>
      </w:r>
      <w:r>
        <w:rPr>
          <w:rFonts w:ascii="PT Astra Serif" w:hAnsi="PT Astra Serif" w:eastAsia="PT Astra Serif" w:cs="PT Astra Serif"/>
          <w:b w:val="0"/>
          <w:bCs w:val="0"/>
          <w:color w:val="auto"/>
          <w:sz w:val="28"/>
          <w:szCs w:val="28"/>
          <w:highlight w:val="none"/>
          <w14:ligatures w14:val="none"/>
        </w:rPr>
      </w:r>
    </w:p>
    <w:sectPr>
      <w:footnotePr/>
      <w:endnotePr/>
      <w:type w:val="nextPage"/>
      <w:pgSz w:w="11906" w:h="16838" w:orient="portrait"/>
      <w:pgMar w:top="426" w:right="850" w:bottom="113" w:left="1701" w:header="709" w:footer="709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10000000000000000"/>
  </w:font>
  <w:font w:name="Times New Roman">
    <w:panose1 w:val="02020603050405020304"/>
  </w:font>
  <w:font w:name="PT Astra Serif">
    <w:panose1 w:val="020A0603040505020204"/>
  </w:font>
  <w:font w:name="Arial">
    <w:panose1 w:val="020B0604020202020204"/>
  </w:font>
  <w:font w:name="Calibri">
    <w:panose1 w:val="020F050202020403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>
        <w:separator/>
      </w:r>
      <w:r/>
    </w:p>
  </w:footnote>
  <w:footnote w:type="continuationSeparator" w:id="0">
    <w:p>
      <w:pPr>
        <w:spacing w:after="0" w:line="240" w:lineRule="auto"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bullet"/>
      <w:isLgl w:val="false"/>
      <w:suff w:val="tab"/>
      <w:lvlText w:val="·"/>
      <w:lvlJc w:val="left"/>
      <w:pPr>
        <w:ind w:left="709" w:hanging="360"/>
      </w:pPr>
      <w:rPr>
        <w:rFonts w:hint="default" w:ascii="Symbol" w:hAnsi="Symbol" w:eastAsia="Symbol" w:cs="Symbol"/>
      </w:rPr>
    </w:lvl>
    <w:lvl w:ilvl="1">
      <w:start w:val="1"/>
      <w:numFmt w:val="bullet"/>
      <w:isLgl w:val="false"/>
      <w:suff w:val="tab"/>
      <w:lvlText w:val="·"/>
      <w:lvlJc w:val="left"/>
      <w:pPr>
        <w:ind w:left="1429" w:hanging="360"/>
      </w:pPr>
      <w:rPr>
        <w:rFonts w:hint="default" w:ascii="Symbol" w:hAnsi="Symbol" w:eastAsia="Symbol" w:cs="Symbol"/>
      </w:rPr>
    </w:lvl>
    <w:lvl w:ilvl="2">
      <w:start w:val="1"/>
      <w:numFmt w:val="bullet"/>
      <w:isLgl w:val="false"/>
      <w:suff w:val="tab"/>
      <w:lvlText w:val="·"/>
      <w:lvlJc w:val="left"/>
      <w:pPr>
        <w:ind w:left="2149" w:hanging="360"/>
      </w:pPr>
      <w:rPr>
        <w:rFonts w:hint="default" w:ascii="Symbol" w:hAnsi="Symbol" w:eastAsia="Symbol" w:cs="Symbol"/>
      </w:rPr>
    </w:lvl>
    <w:lvl w:ilvl="3">
      <w:start w:val="1"/>
      <w:numFmt w:val="bullet"/>
      <w:isLgl w:val="false"/>
      <w:suff w:val="tab"/>
      <w:lvlText w:val="·"/>
      <w:lvlJc w:val="left"/>
      <w:pPr>
        <w:ind w:left="2869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·"/>
      <w:lvlJc w:val="left"/>
      <w:pPr>
        <w:ind w:left="3589" w:hanging="360"/>
      </w:pPr>
      <w:rPr>
        <w:rFonts w:hint="default" w:ascii="Symbol" w:hAnsi="Symbol" w:eastAsia="Symbol" w:cs="Symbol"/>
      </w:rPr>
    </w:lvl>
    <w:lvl w:ilvl="5">
      <w:start w:val="1"/>
      <w:numFmt w:val="bullet"/>
      <w:isLgl w:val="false"/>
      <w:suff w:val="tab"/>
      <w:lvlText w:val="·"/>
      <w:lvlJc w:val="left"/>
      <w:pPr>
        <w:ind w:left="4309" w:hanging="360"/>
      </w:pPr>
      <w:rPr>
        <w:rFonts w:hint="default" w:ascii="Symbol" w:hAnsi="Symbol" w:eastAsia="Symbol" w:cs="Symbol"/>
      </w:rPr>
    </w:lvl>
    <w:lvl w:ilvl="6">
      <w:start w:val="1"/>
      <w:numFmt w:val="bullet"/>
      <w:isLgl w:val="false"/>
      <w:suff w:val="tab"/>
      <w:lvlText w:val="·"/>
      <w:lvlJc w:val="left"/>
      <w:pPr>
        <w:ind w:left="5029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·"/>
      <w:lvlJc w:val="left"/>
      <w:pPr>
        <w:ind w:left="5749" w:hanging="360"/>
      </w:pPr>
      <w:rPr>
        <w:rFonts w:hint="default" w:ascii="Symbol" w:hAnsi="Symbol" w:eastAsia="Symbol" w:cs="Symbol"/>
      </w:rPr>
    </w:lvl>
    <w:lvl w:ilvl="8">
      <w:start w:val="1"/>
      <w:numFmt w:val="bullet"/>
      <w:isLgl w:val="false"/>
      <w:suff w:val="tab"/>
      <w:lvlText w:val="·"/>
      <w:lvlJc w:val="left"/>
      <w:pPr>
        <w:ind w:left="6469" w:hanging="360"/>
      </w:pPr>
      <w:rPr>
        <w:rFonts w:hint="default" w:ascii="Symbol" w:hAnsi="Symbol" w:eastAsia="Symbol" w:cs="Symbol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200" w:afterAutospacing="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656">
    <w:name w:val="Heading 1"/>
    <w:basedOn w:val="832"/>
    <w:next w:val="832"/>
    <w:link w:val="657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657">
    <w:name w:val="Heading 1 Char"/>
    <w:link w:val="656"/>
    <w:uiPriority w:val="9"/>
    <w:rPr>
      <w:rFonts w:ascii="Arial" w:hAnsi="Arial" w:eastAsia="Arial" w:cs="Arial"/>
      <w:sz w:val="40"/>
      <w:szCs w:val="40"/>
    </w:rPr>
  </w:style>
  <w:style w:type="paragraph" w:styleId="658">
    <w:name w:val="Heading 2"/>
    <w:basedOn w:val="832"/>
    <w:next w:val="832"/>
    <w:link w:val="65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character" w:styleId="659">
    <w:name w:val="Heading 2 Char"/>
    <w:link w:val="658"/>
    <w:uiPriority w:val="9"/>
    <w:rPr>
      <w:rFonts w:ascii="Arial" w:hAnsi="Arial" w:eastAsia="Arial" w:cs="Arial"/>
      <w:sz w:val="34"/>
    </w:rPr>
  </w:style>
  <w:style w:type="paragraph" w:styleId="660">
    <w:name w:val="Heading 3"/>
    <w:basedOn w:val="832"/>
    <w:next w:val="832"/>
    <w:link w:val="661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661">
    <w:name w:val="Heading 3 Char"/>
    <w:link w:val="660"/>
    <w:uiPriority w:val="9"/>
    <w:rPr>
      <w:rFonts w:ascii="Arial" w:hAnsi="Arial" w:eastAsia="Arial" w:cs="Arial"/>
      <w:sz w:val="30"/>
      <w:szCs w:val="30"/>
    </w:rPr>
  </w:style>
  <w:style w:type="paragraph" w:styleId="662">
    <w:name w:val="Heading 4"/>
    <w:basedOn w:val="832"/>
    <w:next w:val="832"/>
    <w:link w:val="663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663">
    <w:name w:val="Heading 4 Char"/>
    <w:link w:val="662"/>
    <w:uiPriority w:val="9"/>
    <w:rPr>
      <w:rFonts w:ascii="Arial" w:hAnsi="Arial" w:eastAsia="Arial" w:cs="Arial"/>
      <w:b/>
      <w:bCs/>
      <w:sz w:val="26"/>
      <w:szCs w:val="26"/>
    </w:rPr>
  </w:style>
  <w:style w:type="paragraph" w:styleId="664">
    <w:name w:val="Heading 5"/>
    <w:basedOn w:val="832"/>
    <w:next w:val="832"/>
    <w:link w:val="66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665">
    <w:name w:val="Heading 5 Char"/>
    <w:link w:val="664"/>
    <w:uiPriority w:val="9"/>
    <w:rPr>
      <w:rFonts w:ascii="Arial" w:hAnsi="Arial" w:eastAsia="Arial" w:cs="Arial"/>
      <w:b/>
      <w:bCs/>
      <w:sz w:val="24"/>
      <w:szCs w:val="24"/>
    </w:rPr>
  </w:style>
  <w:style w:type="paragraph" w:styleId="666">
    <w:name w:val="Heading 6"/>
    <w:basedOn w:val="832"/>
    <w:next w:val="832"/>
    <w:link w:val="66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667">
    <w:name w:val="Heading 6 Char"/>
    <w:link w:val="666"/>
    <w:uiPriority w:val="9"/>
    <w:rPr>
      <w:rFonts w:ascii="Arial" w:hAnsi="Arial" w:eastAsia="Arial" w:cs="Arial"/>
      <w:b/>
      <w:bCs/>
      <w:sz w:val="22"/>
      <w:szCs w:val="22"/>
    </w:rPr>
  </w:style>
  <w:style w:type="paragraph" w:styleId="668">
    <w:name w:val="Heading 7"/>
    <w:basedOn w:val="832"/>
    <w:next w:val="832"/>
    <w:link w:val="669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669">
    <w:name w:val="Heading 7 Char"/>
    <w:link w:val="668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670">
    <w:name w:val="Heading 8"/>
    <w:basedOn w:val="832"/>
    <w:next w:val="832"/>
    <w:link w:val="671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671">
    <w:name w:val="Heading 8 Char"/>
    <w:link w:val="670"/>
    <w:uiPriority w:val="9"/>
    <w:rPr>
      <w:rFonts w:ascii="Arial" w:hAnsi="Arial" w:eastAsia="Arial" w:cs="Arial"/>
      <w:i/>
      <w:iCs/>
      <w:sz w:val="22"/>
      <w:szCs w:val="22"/>
    </w:rPr>
  </w:style>
  <w:style w:type="paragraph" w:styleId="672">
    <w:name w:val="Heading 9"/>
    <w:basedOn w:val="832"/>
    <w:next w:val="832"/>
    <w:link w:val="67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673">
    <w:name w:val="Heading 9 Char"/>
    <w:link w:val="672"/>
    <w:uiPriority w:val="9"/>
    <w:rPr>
      <w:rFonts w:ascii="Arial" w:hAnsi="Arial" w:eastAsia="Arial" w:cs="Arial"/>
      <w:i/>
      <w:iCs/>
      <w:sz w:val="21"/>
      <w:szCs w:val="21"/>
    </w:rPr>
  </w:style>
  <w:style w:type="paragraph" w:styleId="674">
    <w:name w:val="Title"/>
    <w:basedOn w:val="832"/>
    <w:next w:val="832"/>
    <w:link w:val="675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675">
    <w:name w:val="Title Char"/>
    <w:link w:val="674"/>
    <w:uiPriority w:val="10"/>
    <w:rPr>
      <w:sz w:val="48"/>
      <w:szCs w:val="48"/>
    </w:rPr>
  </w:style>
  <w:style w:type="paragraph" w:styleId="676">
    <w:name w:val="Subtitle"/>
    <w:basedOn w:val="832"/>
    <w:next w:val="832"/>
    <w:link w:val="677"/>
    <w:uiPriority w:val="11"/>
    <w:qFormat/>
    <w:pPr>
      <w:spacing w:before="200" w:after="200"/>
    </w:pPr>
    <w:rPr>
      <w:sz w:val="24"/>
      <w:szCs w:val="24"/>
    </w:rPr>
  </w:style>
  <w:style w:type="character" w:styleId="677">
    <w:name w:val="Subtitle Char"/>
    <w:link w:val="676"/>
    <w:uiPriority w:val="11"/>
    <w:rPr>
      <w:sz w:val="24"/>
      <w:szCs w:val="24"/>
    </w:rPr>
  </w:style>
  <w:style w:type="paragraph" w:styleId="678">
    <w:name w:val="Quote"/>
    <w:basedOn w:val="832"/>
    <w:next w:val="832"/>
    <w:link w:val="679"/>
    <w:uiPriority w:val="29"/>
    <w:qFormat/>
    <w:pPr>
      <w:ind w:left="720" w:right="720"/>
    </w:pPr>
    <w:rPr>
      <w:i/>
    </w:rPr>
  </w:style>
  <w:style w:type="character" w:styleId="679">
    <w:name w:val="Quote Char"/>
    <w:link w:val="678"/>
    <w:uiPriority w:val="29"/>
    <w:rPr>
      <w:i/>
    </w:rPr>
  </w:style>
  <w:style w:type="paragraph" w:styleId="680">
    <w:name w:val="Intense Quote"/>
    <w:basedOn w:val="832"/>
    <w:next w:val="832"/>
    <w:link w:val="681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681">
    <w:name w:val="Intense Quote Char"/>
    <w:link w:val="680"/>
    <w:uiPriority w:val="30"/>
    <w:rPr>
      <w:i/>
    </w:rPr>
  </w:style>
  <w:style w:type="paragraph" w:styleId="682">
    <w:name w:val="Header"/>
    <w:basedOn w:val="832"/>
    <w:link w:val="683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3">
    <w:name w:val="Header Char"/>
    <w:link w:val="682"/>
    <w:uiPriority w:val="99"/>
  </w:style>
  <w:style w:type="paragraph" w:styleId="684">
    <w:name w:val="Footer"/>
    <w:basedOn w:val="832"/>
    <w:link w:val="687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685">
    <w:name w:val="Footer Char"/>
    <w:link w:val="684"/>
    <w:uiPriority w:val="99"/>
  </w:style>
  <w:style w:type="paragraph" w:styleId="686">
    <w:name w:val="Caption"/>
    <w:basedOn w:val="832"/>
    <w:next w:val="832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687">
    <w:name w:val="Caption Char"/>
    <w:basedOn w:val="686"/>
    <w:link w:val="684"/>
    <w:uiPriority w:val="99"/>
  </w:style>
  <w:style w:type="table" w:styleId="688">
    <w:name w:val="Table Grid"/>
    <w:basedOn w:val="833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89">
    <w:name w:val="Table Grid Light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690">
    <w:name w:val="Plain Table 1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1">
    <w:name w:val="Plain Table 2"/>
    <w:basedOn w:val="83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692">
    <w:name w:val="Plain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693">
    <w:name w:val="Plain Table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4">
    <w:name w:val="Plain Table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695">
    <w:name w:val="Grid Table 1 Light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6">
    <w:name w:val="Grid Table 1 Light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7">
    <w:name w:val="Grid Table 1 Light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8">
    <w:name w:val="Grid Table 1 Light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99">
    <w:name w:val="Grid Table 1 Light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0">
    <w:name w:val="Grid Table 1 Light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1">
    <w:name w:val="Grid Table 1 Light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02">
    <w:name w:val="Grid Table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3">
    <w:name w:val="Grid Table 2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4">
    <w:name w:val="Grid Table 2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5">
    <w:name w:val="Grid Table 2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6">
    <w:name w:val="Grid Table 2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7">
    <w:name w:val="Grid Table 2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8">
    <w:name w:val="Grid Table 2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9">
    <w:name w:val="Grid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0">
    <w:name w:val="Grid Table 3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1">
    <w:name w:val="Grid Table 3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2">
    <w:name w:val="Grid Table 3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3">
    <w:name w:val="Grid Table 3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4">
    <w:name w:val="Grid Table 3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5">
    <w:name w:val="Grid Table 3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6">
    <w:name w:val="Grid Table 4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17">
    <w:name w:val="Grid Table 4 - Accent 1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18">
    <w:name w:val="Grid Table 4 - Accent 2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19">
    <w:name w:val="Grid Table 4 - Accent 3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20">
    <w:name w:val="Grid Table 4 - Accent 4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21">
    <w:name w:val="Grid Table 4 - Accent 5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22">
    <w:name w:val="Grid Table 4 - Accent 6"/>
    <w:basedOn w:val="83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23">
    <w:name w:val="Grid Table 5 Dark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24">
    <w:name w:val="Grid Table 5 Dark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25">
    <w:name w:val="Grid Table 5 Dark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26">
    <w:name w:val="Grid Table 5 Dark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27">
    <w:name w:val="Grid Table 5 Dark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28">
    <w:name w:val="Grid Table 5 Dark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29">
    <w:name w:val="Grid Table 5 Dark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30">
    <w:name w:val="Grid Table 6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31">
    <w:name w:val="Grid Table 6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32">
    <w:name w:val="Grid Table 6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33">
    <w:name w:val="Grid Table 6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34">
    <w:name w:val="Grid Table 6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35">
    <w:name w:val="Grid Table 6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6">
    <w:name w:val="Grid Table 6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37">
    <w:name w:val="Grid Table 7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8">
    <w:name w:val="Grid Table 7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9">
    <w:name w:val="Grid Table 7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0">
    <w:name w:val="Grid Table 7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1">
    <w:name w:val="Grid Table 7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2">
    <w:name w:val="Grid Table 7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3">
    <w:name w:val="Grid Table 7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4">
    <w:name w:val="List Table 1 Light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5">
    <w:name w:val="List Table 1 Light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6">
    <w:name w:val="List Table 1 Light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7">
    <w:name w:val="List Table 1 Light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8">
    <w:name w:val="List Table 1 Light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9">
    <w:name w:val="List Table 1 Light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0">
    <w:name w:val="List Table 1 Light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51">
    <w:name w:val="List Table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752">
    <w:name w:val="List Table 2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753">
    <w:name w:val="List Table 2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754">
    <w:name w:val="List Table 2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755">
    <w:name w:val="List Table 2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756">
    <w:name w:val="List Table 2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757">
    <w:name w:val="List Table 2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758">
    <w:name w:val="List Table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List Table 3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List Table 3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List Table 3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List Table 3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List Table 3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List Table 3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List Table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List Table 4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7">
    <w:name w:val="List Table 4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8">
    <w:name w:val="List Table 4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9">
    <w:name w:val="List Table 4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0">
    <w:name w:val="List Table 4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1">
    <w:name w:val="List Table 4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72">
    <w:name w:val="List Table 5 Dark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3">
    <w:name w:val="List Table 5 Dark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4">
    <w:name w:val="List Table 5 Dark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5">
    <w:name w:val="List Table 5 Dark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6">
    <w:name w:val="List Table 5 Dark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7">
    <w:name w:val="List Table 5 Dark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8">
    <w:name w:val="List Table 5 Dark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779">
    <w:name w:val="List Table 6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780">
    <w:name w:val="List Table 6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781">
    <w:name w:val="List Table 6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782">
    <w:name w:val="List Table 6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783">
    <w:name w:val="List Table 6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784">
    <w:name w:val="List Table 6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785">
    <w:name w:val="List Table 6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786">
    <w:name w:val="List Table 7 Colorful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787">
    <w:name w:val="List Table 7 Colorful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788">
    <w:name w:val="List Table 7 Colorful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789">
    <w:name w:val="List Table 7 Colorful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790">
    <w:name w:val="List Table 7 Colorful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791">
    <w:name w:val="List Table 7 Colorful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792">
    <w:name w:val="List Table 7 Colorful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793">
    <w:name w:val="Lined - Accent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794">
    <w:name w:val="Lined - Accent 1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795">
    <w:name w:val="Lined - Accent 2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796">
    <w:name w:val="Lined - Accent 3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797">
    <w:name w:val="Lined - Accent 4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798">
    <w:name w:val="Lined - Accent 5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799">
    <w:name w:val="Lined - Accent 6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0">
    <w:name w:val="Bordered &amp; Lined - Accent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01">
    <w:name w:val="Bordered &amp; Lined - Accent 1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02">
    <w:name w:val="Bordered &amp; Lined - Accent 2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03">
    <w:name w:val="Bordered &amp; Lined - Accent 3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04">
    <w:name w:val="Bordered &amp; Lined - Accent 4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05">
    <w:name w:val="Bordered &amp; Lined - Accent 5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06">
    <w:name w:val="Bordered &amp; Lined - Accent 6"/>
    <w:basedOn w:val="83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07">
    <w:name w:val="Bordered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08">
    <w:name w:val="Bordered - Accent 1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09">
    <w:name w:val="Bordered - Accent 2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10">
    <w:name w:val="Bordered - Accent 3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11">
    <w:name w:val="Bordered - Accent 4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12">
    <w:name w:val="Bordered - Accent 5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13">
    <w:name w:val="Bordered - Accent 6"/>
    <w:basedOn w:val="83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814">
    <w:name w:val="Hyperlink"/>
    <w:uiPriority w:val="99"/>
    <w:unhideWhenUsed/>
    <w:rPr>
      <w:color w:val="0000ff" w:themeColor="hyperlink"/>
      <w:u w:val="single"/>
    </w:rPr>
  </w:style>
  <w:style w:type="paragraph" w:styleId="815">
    <w:name w:val="footnote text"/>
    <w:basedOn w:val="832"/>
    <w:link w:val="816"/>
    <w:uiPriority w:val="99"/>
    <w:semiHidden/>
    <w:unhideWhenUsed/>
    <w:pPr>
      <w:spacing w:after="40" w:line="240" w:lineRule="auto"/>
    </w:pPr>
    <w:rPr>
      <w:sz w:val="18"/>
    </w:rPr>
  </w:style>
  <w:style w:type="character" w:styleId="816">
    <w:name w:val="Footnote Text Char"/>
    <w:link w:val="815"/>
    <w:uiPriority w:val="99"/>
    <w:rPr>
      <w:sz w:val="18"/>
    </w:rPr>
  </w:style>
  <w:style w:type="character" w:styleId="817">
    <w:name w:val="footnote reference"/>
    <w:uiPriority w:val="99"/>
    <w:unhideWhenUsed/>
    <w:rPr>
      <w:vertAlign w:val="superscript"/>
    </w:rPr>
  </w:style>
  <w:style w:type="paragraph" w:styleId="818">
    <w:name w:val="endnote text"/>
    <w:basedOn w:val="832"/>
    <w:link w:val="819"/>
    <w:uiPriority w:val="99"/>
    <w:semiHidden/>
    <w:unhideWhenUsed/>
    <w:pPr>
      <w:spacing w:after="0" w:line="240" w:lineRule="auto"/>
    </w:pPr>
    <w:rPr>
      <w:sz w:val="20"/>
    </w:rPr>
  </w:style>
  <w:style w:type="character" w:styleId="819">
    <w:name w:val="Endnote Text Char"/>
    <w:link w:val="818"/>
    <w:uiPriority w:val="99"/>
    <w:rPr>
      <w:sz w:val="20"/>
    </w:rPr>
  </w:style>
  <w:style w:type="character" w:styleId="820">
    <w:name w:val="endnote reference"/>
    <w:uiPriority w:val="99"/>
    <w:semiHidden/>
    <w:unhideWhenUsed/>
    <w:rPr>
      <w:vertAlign w:val="superscript"/>
    </w:rPr>
  </w:style>
  <w:style w:type="paragraph" w:styleId="821">
    <w:name w:val="toc 1"/>
    <w:basedOn w:val="832"/>
    <w:next w:val="832"/>
    <w:uiPriority w:val="39"/>
    <w:unhideWhenUsed/>
    <w:pPr>
      <w:ind w:left="0" w:right="0" w:firstLine="0"/>
      <w:spacing w:after="57"/>
    </w:pPr>
  </w:style>
  <w:style w:type="paragraph" w:styleId="822">
    <w:name w:val="toc 2"/>
    <w:basedOn w:val="832"/>
    <w:next w:val="832"/>
    <w:uiPriority w:val="39"/>
    <w:unhideWhenUsed/>
    <w:pPr>
      <w:ind w:left="283" w:right="0" w:firstLine="0"/>
      <w:spacing w:after="57"/>
    </w:pPr>
  </w:style>
  <w:style w:type="paragraph" w:styleId="823">
    <w:name w:val="toc 3"/>
    <w:basedOn w:val="832"/>
    <w:next w:val="832"/>
    <w:uiPriority w:val="39"/>
    <w:unhideWhenUsed/>
    <w:pPr>
      <w:ind w:left="567" w:right="0" w:firstLine="0"/>
      <w:spacing w:after="57"/>
    </w:pPr>
  </w:style>
  <w:style w:type="paragraph" w:styleId="824">
    <w:name w:val="toc 4"/>
    <w:basedOn w:val="832"/>
    <w:next w:val="832"/>
    <w:uiPriority w:val="39"/>
    <w:unhideWhenUsed/>
    <w:pPr>
      <w:ind w:left="850" w:right="0" w:firstLine="0"/>
      <w:spacing w:after="57"/>
    </w:pPr>
  </w:style>
  <w:style w:type="paragraph" w:styleId="825">
    <w:name w:val="toc 5"/>
    <w:basedOn w:val="832"/>
    <w:next w:val="832"/>
    <w:uiPriority w:val="39"/>
    <w:unhideWhenUsed/>
    <w:pPr>
      <w:ind w:left="1134" w:right="0" w:firstLine="0"/>
      <w:spacing w:after="57"/>
    </w:pPr>
  </w:style>
  <w:style w:type="paragraph" w:styleId="826">
    <w:name w:val="toc 6"/>
    <w:basedOn w:val="832"/>
    <w:next w:val="832"/>
    <w:uiPriority w:val="39"/>
    <w:unhideWhenUsed/>
    <w:pPr>
      <w:ind w:left="1417" w:right="0" w:firstLine="0"/>
      <w:spacing w:after="57"/>
    </w:pPr>
  </w:style>
  <w:style w:type="paragraph" w:styleId="827">
    <w:name w:val="toc 7"/>
    <w:basedOn w:val="832"/>
    <w:next w:val="832"/>
    <w:uiPriority w:val="39"/>
    <w:unhideWhenUsed/>
    <w:pPr>
      <w:ind w:left="1701" w:right="0" w:firstLine="0"/>
      <w:spacing w:after="57"/>
    </w:pPr>
  </w:style>
  <w:style w:type="paragraph" w:styleId="828">
    <w:name w:val="toc 8"/>
    <w:basedOn w:val="832"/>
    <w:next w:val="832"/>
    <w:uiPriority w:val="39"/>
    <w:unhideWhenUsed/>
    <w:pPr>
      <w:ind w:left="1984" w:right="0" w:firstLine="0"/>
      <w:spacing w:after="57"/>
    </w:pPr>
  </w:style>
  <w:style w:type="paragraph" w:styleId="829">
    <w:name w:val="toc 9"/>
    <w:basedOn w:val="832"/>
    <w:next w:val="832"/>
    <w:uiPriority w:val="39"/>
    <w:unhideWhenUsed/>
    <w:pPr>
      <w:ind w:left="2268" w:right="0" w:firstLine="0"/>
      <w:spacing w:after="57"/>
    </w:pPr>
  </w:style>
  <w:style w:type="paragraph" w:styleId="830">
    <w:name w:val="TOC Heading"/>
    <w:uiPriority w:val="39"/>
    <w:unhideWhenUsed/>
  </w:style>
  <w:style w:type="paragraph" w:styleId="831">
    <w:name w:val="table of figures"/>
    <w:basedOn w:val="832"/>
    <w:next w:val="832"/>
    <w:uiPriority w:val="99"/>
    <w:unhideWhenUsed/>
    <w:pPr>
      <w:spacing w:after="0" w:afterAutospacing="0"/>
    </w:pPr>
  </w:style>
  <w:style w:type="paragraph" w:styleId="832" w:default="1">
    <w:name w:val="Normal"/>
    <w:qFormat/>
  </w:style>
  <w:style w:type="table" w:styleId="83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34" w:default="1">
    <w:name w:val="No List"/>
    <w:uiPriority w:val="99"/>
    <w:semiHidden/>
    <w:unhideWhenUsed/>
  </w:style>
  <w:style w:type="paragraph" w:styleId="835">
    <w:name w:val="No Spacing"/>
    <w:basedOn w:val="832"/>
    <w:uiPriority w:val="1"/>
    <w:qFormat/>
    <w:pPr>
      <w:spacing w:after="0" w:line="240" w:lineRule="auto"/>
    </w:pPr>
  </w:style>
  <w:style w:type="paragraph" w:styleId="836">
    <w:name w:val="List Paragraph"/>
    <w:basedOn w:val="832"/>
    <w:uiPriority w:val="34"/>
    <w:qFormat/>
    <w:pPr>
      <w:contextualSpacing/>
      <w:ind w:left="720"/>
    </w:pPr>
  </w:style>
  <w:style w:type="character" w:styleId="837" w:default="1">
    <w:name w:val="Default Paragraph Font"/>
    <w:uiPriority w:val="1"/>
    <w:semiHidden/>
    <w:unhideWhenUsed/>
  </w:style>
  <w:style w:type="paragraph" w:styleId="838" w:customStyle="1">
    <w:name w:val="Normal (Web)"/>
    <w:basedOn w:val="834"/>
    <w:uiPriority w:val="99"/>
    <w:unhideWhenUsed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Relationship Id="rId10" Type="http://schemas.openxmlformats.org/officeDocument/2006/relationships/hyperlink" Target="https://rosreestr.gov.ru/eservices/services/calculator-state-duty/" TargetMode="External"/><Relationship Id="rId11" Type="http://schemas.openxmlformats.org/officeDocument/2006/relationships/hyperlink" Target="https://vk.com/topic-196614105_48474281" TargetMode="External"/><Relationship Id="rId12" Type="http://schemas.openxmlformats.org/officeDocument/2006/relationships/hyperlink" Target="mailto:press@r35.rosreestr.ru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Р7-Офис/2024.3.2.584</Application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revision>9</cp:revision>
  <dcterms:modified xsi:type="dcterms:W3CDTF">2025-06-25T08:25:59Z</dcterms:modified>
</cp:coreProperties>
</file>