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0FF" w:rsidRDefault="007021D8">
      <w:pPr>
        <w:ind w:firstLine="709"/>
        <w:jc w:val="center"/>
        <w:rPr>
          <w:b/>
          <w:sz w:val="28"/>
          <w:szCs w:val="28"/>
        </w:rPr>
      </w:pPr>
      <w:proofErr w:type="gramStart"/>
      <w:r>
        <w:rPr>
          <w:b/>
          <w:sz w:val="28"/>
          <w:szCs w:val="28"/>
        </w:rPr>
        <w:t xml:space="preserve">Эксперты региональных Росреестра и </w:t>
      </w:r>
      <w:proofErr w:type="spellStart"/>
      <w:r>
        <w:rPr>
          <w:b/>
          <w:sz w:val="28"/>
          <w:szCs w:val="28"/>
        </w:rPr>
        <w:t>Роскадастра</w:t>
      </w:r>
      <w:proofErr w:type="spellEnd"/>
      <w:r>
        <w:rPr>
          <w:b/>
          <w:sz w:val="28"/>
          <w:szCs w:val="28"/>
        </w:rPr>
        <w:t xml:space="preserve"> рассказали, почему </w:t>
      </w:r>
      <w:r>
        <w:rPr>
          <w:b/>
          <w:sz w:val="28"/>
          <w:szCs w:val="28"/>
        </w:rPr>
        <w:t>к</w:t>
      </w:r>
      <w:r>
        <w:rPr>
          <w:b/>
          <w:sz w:val="28"/>
          <w:szCs w:val="28"/>
        </w:rPr>
        <w:t>омплексные кадастровые работы выгодны для вологжан</w:t>
      </w:r>
      <w:proofErr w:type="gramEnd"/>
    </w:p>
    <w:p w:rsidR="00C150FF" w:rsidRDefault="00C150FF">
      <w:pPr>
        <w:ind w:firstLine="709"/>
        <w:jc w:val="both"/>
        <w:rPr>
          <w:b/>
          <w:sz w:val="28"/>
          <w:szCs w:val="28"/>
        </w:rPr>
      </w:pPr>
    </w:p>
    <w:p w:rsidR="00C150FF" w:rsidRDefault="007021D8">
      <w:pPr>
        <w:ind w:firstLine="567"/>
        <w:jc w:val="both"/>
        <w:rPr>
          <w:sz w:val="28"/>
          <w:szCs w:val="28"/>
        </w:rPr>
      </w:pPr>
      <w:r>
        <w:rPr>
          <w:sz w:val="28"/>
          <w:szCs w:val="28"/>
        </w:rPr>
        <w:t>На территории Вологодской области более 750 000 земельных участков, из них</w:t>
      </w:r>
      <w:r>
        <w:rPr>
          <w:color w:val="FF0000"/>
          <w:sz w:val="28"/>
          <w:szCs w:val="28"/>
        </w:rPr>
        <w:t xml:space="preserve"> </w:t>
      </w:r>
      <w:r>
        <w:rPr>
          <w:sz w:val="28"/>
          <w:szCs w:val="28"/>
        </w:rPr>
        <w:t xml:space="preserve">только 54,5 % содержат  в Едином государственном реестре </w:t>
      </w:r>
      <w:r>
        <w:rPr>
          <w:sz w:val="28"/>
          <w:szCs w:val="28"/>
        </w:rPr>
        <w:t>недвижимости</w:t>
      </w:r>
      <w:r>
        <w:rPr>
          <w:sz w:val="28"/>
          <w:szCs w:val="28"/>
        </w:rPr>
        <w:t xml:space="preserve"> (ЕГРН)</w:t>
      </w:r>
      <w:r>
        <w:rPr>
          <w:sz w:val="28"/>
          <w:szCs w:val="28"/>
        </w:rPr>
        <w:t xml:space="preserve"> сведения об описании границ.</w:t>
      </w:r>
    </w:p>
    <w:p w:rsidR="00C150FF" w:rsidRDefault="007021D8">
      <w:pPr>
        <w:ind w:firstLine="567"/>
        <w:jc w:val="both"/>
        <w:rPr>
          <w:sz w:val="28"/>
          <w:szCs w:val="28"/>
        </w:rPr>
      </w:pPr>
      <w:r>
        <w:rPr>
          <w:sz w:val="28"/>
          <w:szCs w:val="28"/>
        </w:rPr>
        <w:t xml:space="preserve">Одним из способов наполнения </w:t>
      </w:r>
      <w:r>
        <w:rPr>
          <w:sz w:val="28"/>
          <w:szCs w:val="28"/>
        </w:rPr>
        <w:t>ЕГРН</w:t>
      </w:r>
      <w:r>
        <w:rPr>
          <w:sz w:val="28"/>
          <w:szCs w:val="28"/>
        </w:rPr>
        <w:t xml:space="preserve"> полными и точными сведениями об объектах недвижимости, расположенных на территории области, является проведение компл</w:t>
      </w:r>
      <w:r>
        <w:rPr>
          <w:sz w:val="28"/>
          <w:szCs w:val="28"/>
        </w:rPr>
        <w:t>ексных кадастровых работ.</w:t>
      </w:r>
    </w:p>
    <w:p w:rsidR="00C150FF" w:rsidRDefault="007021D8">
      <w:pPr>
        <w:ind w:firstLine="567"/>
        <w:jc w:val="both"/>
        <w:rPr>
          <w:sz w:val="28"/>
          <w:szCs w:val="28"/>
        </w:rPr>
      </w:pPr>
      <w:r>
        <w:rPr>
          <w:sz w:val="28"/>
          <w:szCs w:val="28"/>
        </w:rPr>
        <w:t>Напомним, комплексные кадастровые работы (ККР) – это работы по установлению на местности границ земельных участков и объектов недвижимости, расположенных на них,</w:t>
      </w:r>
      <w:r>
        <w:rPr>
          <w:color w:val="FF0000"/>
          <w:sz w:val="28"/>
          <w:szCs w:val="28"/>
        </w:rPr>
        <w:t xml:space="preserve"> </w:t>
      </w:r>
      <w:r>
        <w:rPr>
          <w:sz w:val="28"/>
          <w:szCs w:val="28"/>
        </w:rPr>
        <w:t>на территории одного кадастрового квартала или нескольких смежных ка</w:t>
      </w:r>
      <w:r>
        <w:rPr>
          <w:sz w:val="28"/>
          <w:szCs w:val="28"/>
        </w:rPr>
        <w:t>дастровых кварталов в пределах муниципального образования, населенного пункта, садоводческого товарищества или гаражного кооператива.</w:t>
      </w:r>
    </w:p>
    <w:p w:rsidR="00C150FF" w:rsidRDefault="007021D8">
      <w:pPr>
        <w:ind w:firstLine="567"/>
        <w:jc w:val="both"/>
        <w:rPr>
          <w:sz w:val="28"/>
          <w:szCs w:val="28"/>
        </w:rPr>
      </w:pPr>
      <w:r>
        <w:rPr>
          <w:sz w:val="28"/>
          <w:szCs w:val="28"/>
        </w:rPr>
        <w:t>Основными задачами выполнения комплексных кадастровых работ являются:</w:t>
      </w:r>
    </w:p>
    <w:p w:rsidR="00C150FF" w:rsidRDefault="007021D8">
      <w:pPr>
        <w:ind w:firstLine="567"/>
        <w:jc w:val="both"/>
        <w:rPr>
          <w:sz w:val="28"/>
          <w:szCs w:val="28"/>
        </w:rPr>
      </w:pPr>
      <w:r>
        <w:rPr>
          <w:sz w:val="28"/>
          <w:szCs w:val="28"/>
        </w:rPr>
        <w:t>1. Установление местоположения границ земельных учас</w:t>
      </w:r>
      <w:r>
        <w:rPr>
          <w:sz w:val="28"/>
          <w:szCs w:val="28"/>
        </w:rPr>
        <w:t>тков, расположенных на них зданий, сооружений, объектов незавершенного строительства, а также исправление всех реестровых ошибок, имеющихся в сведениях о границах земельных участков, объектов капитального строительства.</w:t>
      </w:r>
    </w:p>
    <w:p w:rsidR="00C150FF" w:rsidRDefault="007021D8">
      <w:pPr>
        <w:ind w:firstLine="567"/>
        <w:jc w:val="both"/>
        <w:rPr>
          <w:sz w:val="28"/>
          <w:szCs w:val="28"/>
        </w:rPr>
      </w:pPr>
      <w:r>
        <w:rPr>
          <w:sz w:val="28"/>
          <w:szCs w:val="28"/>
        </w:rPr>
        <w:t>2. Выявление всех правообладателей о</w:t>
      </w:r>
      <w:r>
        <w:rPr>
          <w:sz w:val="28"/>
          <w:szCs w:val="28"/>
        </w:rPr>
        <w:t xml:space="preserve">бъектов недвижимости, расположенных в границах кадастровых кварталов, где проводятся комплексные кадастровые работы.   </w:t>
      </w:r>
    </w:p>
    <w:p w:rsidR="00C150FF" w:rsidRDefault="007021D8">
      <w:pPr>
        <w:pStyle w:val="afa"/>
        <w:ind w:firstLine="567"/>
        <w:rPr>
          <w:sz w:val="28"/>
          <w:szCs w:val="28"/>
        </w:rPr>
      </w:pPr>
      <w:r>
        <w:rPr>
          <w:sz w:val="28"/>
          <w:szCs w:val="28"/>
        </w:rPr>
        <w:t>3. Образование новых земельных участков в соответствии с документами, предусмотренными требованиями действующего законодательства.</w:t>
      </w:r>
    </w:p>
    <w:p w:rsidR="00C150FF" w:rsidRDefault="007021D8">
      <w:pPr>
        <w:ind w:firstLine="567"/>
        <w:jc w:val="both"/>
        <w:rPr>
          <w:sz w:val="28"/>
          <w:szCs w:val="28"/>
        </w:rPr>
      </w:pPr>
      <w:r>
        <w:rPr>
          <w:sz w:val="28"/>
          <w:szCs w:val="28"/>
        </w:rPr>
        <w:t>Каким</w:t>
      </w:r>
      <w:r>
        <w:rPr>
          <w:sz w:val="28"/>
          <w:szCs w:val="28"/>
        </w:rPr>
        <w:t xml:space="preserve"> образом происходит выполнение ККР?</w:t>
      </w:r>
    </w:p>
    <w:p w:rsidR="00C150FF" w:rsidRDefault="007021D8">
      <w:pPr>
        <w:ind w:firstLine="567"/>
        <w:jc w:val="both"/>
        <w:rPr>
          <w:sz w:val="28"/>
          <w:szCs w:val="28"/>
        </w:rPr>
      </w:pPr>
      <w:r>
        <w:rPr>
          <w:sz w:val="28"/>
          <w:szCs w:val="28"/>
        </w:rPr>
        <w:t>Основанием для проведения ККР является государственный или муниципальный контракт. После извещения о проведении ККР кадастровые инженеры осуществляют необходимые замеры, подготавливается проект карты-плана территории. Да</w:t>
      </w:r>
      <w:r>
        <w:rPr>
          <w:sz w:val="28"/>
          <w:szCs w:val="28"/>
        </w:rPr>
        <w:t>лее согласительная комиссия согласовывает местоположение границ земельных участков и находящихся на них объектов капитального строительства, утверждает проект карты-плана территории для дальнейшего направления его в Управление Росреестра по Вологодской обл</w:t>
      </w:r>
      <w:r>
        <w:rPr>
          <w:sz w:val="28"/>
          <w:szCs w:val="28"/>
        </w:rPr>
        <w:t xml:space="preserve">асти. Управление, в свою очередь, при отсутствии замечаний вносит на основании представленной карты-плана территории сведения о границах объектов недвижимости в ЕГРН. </w:t>
      </w:r>
    </w:p>
    <w:p w:rsidR="00C150FF" w:rsidRDefault="007021D8">
      <w:pPr>
        <w:ind w:firstLine="567"/>
        <w:jc w:val="both"/>
        <w:rPr>
          <w:b/>
          <w:sz w:val="28"/>
          <w:szCs w:val="28"/>
        </w:rPr>
      </w:pPr>
      <w:r>
        <w:rPr>
          <w:sz w:val="28"/>
          <w:szCs w:val="28"/>
        </w:rPr>
        <w:t>«</w:t>
      </w:r>
      <w:r>
        <w:rPr>
          <w:i/>
          <w:iCs/>
          <w:sz w:val="28"/>
          <w:szCs w:val="28"/>
        </w:rPr>
        <w:t>Межевание осуществляется массово в отношении всех смежных земельных участков, а это зна</w:t>
      </w:r>
      <w:r>
        <w:rPr>
          <w:i/>
          <w:iCs/>
          <w:sz w:val="28"/>
          <w:szCs w:val="28"/>
        </w:rPr>
        <w:t>чит, что в дальнейшем споры по границам между соседями будут исключены. Кроме того, у правообладателей отсутствует необходимость обращаться в Управление Росреестра с заявлением о внесении изменений в ЕГРН – это будет сделано комплексно»</w:t>
      </w:r>
      <w:r>
        <w:rPr>
          <w:sz w:val="28"/>
          <w:szCs w:val="28"/>
        </w:rPr>
        <w:t>, –</w:t>
      </w:r>
      <w:r>
        <w:rPr>
          <w:i/>
          <w:iCs/>
          <w:sz w:val="28"/>
          <w:szCs w:val="28"/>
        </w:rPr>
        <w:t xml:space="preserve"> </w:t>
      </w:r>
      <w:r>
        <w:rPr>
          <w:iCs/>
          <w:sz w:val="28"/>
          <w:szCs w:val="28"/>
        </w:rPr>
        <w:t xml:space="preserve">сообщает </w:t>
      </w:r>
      <w:r w:rsidRPr="007021D8">
        <w:rPr>
          <w:b/>
          <w:bCs/>
          <w:iCs/>
          <w:sz w:val="28"/>
          <w:szCs w:val="28"/>
        </w:rPr>
        <w:t>директо</w:t>
      </w:r>
      <w:r w:rsidRPr="007021D8">
        <w:rPr>
          <w:b/>
          <w:bCs/>
          <w:iCs/>
          <w:sz w:val="28"/>
          <w:szCs w:val="28"/>
        </w:rPr>
        <w:t>р филиала ППК «</w:t>
      </w:r>
      <w:proofErr w:type="spellStart"/>
      <w:r w:rsidRPr="007021D8">
        <w:rPr>
          <w:b/>
          <w:bCs/>
          <w:iCs/>
          <w:sz w:val="28"/>
          <w:szCs w:val="28"/>
        </w:rPr>
        <w:t>Роскадастр</w:t>
      </w:r>
      <w:proofErr w:type="spellEnd"/>
      <w:r w:rsidRPr="007021D8">
        <w:rPr>
          <w:b/>
          <w:bCs/>
          <w:iCs/>
          <w:sz w:val="28"/>
          <w:szCs w:val="28"/>
        </w:rPr>
        <w:t>» по Вологодской области</w:t>
      </w:r>
      <w:r>
        <w:rPr>
          <w:i/>
          <w:iCs/>
          <w:sz w:val="28"/>
          <w:szCs w:val="28"/>
        </w:rPr>
        <w:t xml:space="preserve"> </w:t>
      </w:r>
      <w:r>
        <w:rPr>
          <w:b/>
          <w:sz w:val="28"/>
          <w:szCs w:val="28"/>
        </w:rPr>
        <w:t xml:space="preserve">Сабина </w:t>
      </w:r>
      <w:proofErr w:type="spellStart"/>
      <w:r>
        <w:rPr>
          <w:b/>
          <w:sz w:val="28"/>
          <w:szCs w:val="28"/>
        </w:rPr>
        <w:t>Каплевская</w:t>
      </w:r>
      <w:proofErr w:type="spellEnd"/>
      <w:r>
        <w:rPr>
          <w:b/>
          <w:sz w:val="28"/>
          <w:szCs w:val="28"/>
        </w:rPr>
        <w:t>.</w:t>
      </w:r>
    </w:p>
    <w:p w:rsidR="00C150FF" w:rsidRDefault="007021D8">
      <w:pPr>
        <w:ind w:firstLine="567"/>
        <w:jc w:val="both"/>
        <w:rPr>
          <w:sz w:val="28"/>
          <w:szCs w:val="28"/>
        </w:rPr>
      </w:pPr>
      <w:r>
        <w:rPr>
          <w:sz w:val="28"/>
          <w:szCs w:val="28"/>
        </w:rPr>
        <w:lastRenderedPageBreak/>
        <w:t>В 2025 году за счет средств федерального бюджета ККР будут проводиться на территории 56 кадастровых кварталов (г.</w:t>
      </w:r>
      <w:r>
        <w:rPr>
          <w:sz w:val="28"/>
          <w:szCs w:val="28"/>
        </w:rPr>
        <w:t xml:space="preserve"> </w:t>
      </w:r>
      <w:r>
        <w:rPr>
          <w:sz w:val="28"/>
          <w:szCs w:val="28"/>
        </w:rPr>
        <w:t xml:space="preserve">Вологда, Вологодский округ, </w:t>
      </w:r>
      <w:proofErr w:type="spellStart"/>
      <w:r>
        <w:rPr>
          <w:sz w:val="28"/>
          <w:szCs w:val="28"/>
        </w:rPr>
        <w:t>г</w:t>
      </w:r>
      <w:proofErr w:type="gramStart"/>
      <w:r>
        <w:rPr>
          <w:sz w:val="28"/>
          <w:szCs w:val="28"/>
        </w:rPr>
        <w:t>.Ч</w:t>
      </w:r>
      <w:proofErr w:type="gramEnd"/>
      <w:r>
        <w:rPr>
          <w:sz w:val="28"/>
          <w:szCs w:val="28"/>
        </w:rPr>
        <w:t>ереповец</w:t>
      </w:r>
      <w:proofErr w:type="spellEnd"/>
      <w:r>
        <w:rPr>
          <w:sz w:val="28"/>
          <w:szCs w:val="28"/>
        </w:rPr>
        <w:t xml:space="preserve">, Череповецкий район, Шекснинский </w:t>
      </w:r>
      <w:r>
        <w:rPr>
          <w:sz w:val="28"/>
          <w:szCs w:val="28"/>
        </w:rPr>
        <w:t xml:space="preserve">район, </w:t>
      </w:r>
      <w:proofErr w:type="spellStart"/>
      <w:r>
        <w:rPr>
          <w:sz w:val="28"/>
          <w:szCs w:val="28"/>
        </w:rPr>
        <w:t>Сокольский</w:t>
      </w:r>
      <w:proofErr w:type="spellEnd"/>
      <w:r>
        <w:rPr>
          <w:sz w:val="28"/>
          <w:szCs w:val="28"/>
        </w:rPr>
        <w:t xml:space="preserve"> округ, Великоустюгский округ).</w:t>
      </w:r>
    </w:p>
    <w:p w:rsidR="00C150FF" w:rsidRDefault="007021D8">
      <w:pPr>
        <w:ind w:firstLine="567"/>
        <w:jc w:val="both"/>
        <w:rPr>
          <w:sz w:val="28"/>
          <w:szCs w:val="28"/>
        </w:rPr>
      </w:pPr>
      <w:r>
        <w:rPr>
          <w:sz w:val="28"/>
          <w:szCs w:val="28"/>
        </w:rPr>
        <w:t>Финансирование комплексных кадастровых работ с использованием средств регионального и местного бюджетов в рамках реализации перечня поручений Президента Российской Федерации от 11.08.2022 № Пр-1424 планирует</w:t>
      </w:r>
      <w:r>
        <w:rPr>
          <w:sz w:val="28"/>
          <w:szCs w:val="28"/>
        </w:rPr>
        <w:t xml:space="preserve">ся на территории всех муниципальных образований области (около 100 кадастровых кварталов) и составляет 8338,2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(точные границы будут установлены ориентировочно в отношении 9778 объектов недвижимости).</w:t>
      </w:r>
    </w:p>
    <w:p w:rsidR="00C150FF" w:rsidRDefault="007021D8">
      <w:pPr>
        <w:ind w:firstLine="567"/>
        <w:jc w:val="both"/>
        <w:rPr>
          <w:sz w:val="28"/>
          <w:szCs w:val="28"/>
        </w:rPr>
      </w:pPr>
      <w:r>
        <w:rPr>
          <w:sz w:val="28"/>
          <w:szCs w:val="28"/>
        </w:rPr>
        <w:t>«</w:t>
      </w:r>
      <w:r>
        <w:rPr>
          <w:i/>
          <w:iCs/>
          <w:sz w:val="28"/>
          <w:szCs w:val="28"/>
        </w:rPr>
        <w:t xml:space="preserve">Важно понимать, что проведение комплексных </w:t>
      </w:r>
      <w:r>
        <w:rPr>
          <w:i/>
          <w:iCs/>
          <w:sz w:val="28"/>
          <w:szCs w:val="28"/>
        </w:rPr>
        <w:t>кадастровых работ очень выгодно для граждан, поскольку ККР осуществляются за счет государственных средств, поэтому вологжанам не придется платить за межевание своих земельных участков. По существу процесс установления точных границ земельных участков госуд</w:t>
      </w:r>
      <w:r>
        <w:rPr>
          <w:i/>
          <w:iCs/>
          <w:sz w:val="28"/>
          <w:szCs w:val="28"/>
        </w:rPr>
        <w:t>арство берет на себя</w:t>
      </w:r>
      <w:r>
        <w:rPr>
          <w:sz w:val="28"/>
          <w:szCs w:val="28"/>
        </w:rPr>
        <w:t xml:space="preserve">», – отмечает </w:t>
      </w:r>
      <w:r w:rsidRPr="007021D8">
        <w:rPr>
          <w:b/>
          <w:bCs/>
          <w:sz w:val="28"/>
          <w:szCs w:val="28"/>
        </w:rPr>
        <w:t>руководитель Управления Росреестра по Вологодской области</w:t>
      </w:r>
      <w:r>
        <w:rPr>
          <w:sz w:val="28"/>
          <w:szCs w:val="28"/>
        </w:rPr>
        <w:t xml:space="preserve"> </w:t>
      </w:r>
      <w:r>
        <w:rPr>
          <w:b/>
          <w:bCs/>
          <w:sz w:val="28"/>
          <w:szCs w:val="28"/>
        </w:rPr>
        <w:t xml:space="preserve">Дмитрий </w:t>
      </w:r>
      <w:proofErr w:type="spellStart"/>
      <w:r>
        <w:rPr>
          <w:b/>
          <w:bCs/>
          <w:sz w:val="28"/>
          <w:szCs w:val="28"/>
        </w:rPr>
        <w:t>Тулин</w:t>
      </w:r>
      <w:proofErr w:type="spellEnd"/>
      <w:r>
        <w:rPr>
          <w:b/>
          <w:bCs/>
          <w:sz w:val="28"/>
          <w:szCs w:val="28"/>
        </w:rPr>
        <w:t>.</w:t>
      </w:r>
    </w:p>
    <w:p w:rsidR="00C150FF" w:rsidRDefault="007021D8">
      <w:pPr>
        <w:ind w:firstLine="567"/>
        <w:jc w:val="both"/>
        <w:rPr>
          <w:sz w:val="28"/>
          <w:szCs w:val="28"/>
        </w:rPr>
      </w:pPr>
      <w:r>
        <w:rPr>
          <w:sz w:val="28"/>
          <w:szCs w:val="28"/>
        </w:rPr>
        <w:t>Как гражданину узнать, будут ли проводиться ККР в отношении конкретного участка?</w:t>
      </w:r>
    </w:p>
    <w:p w:rsidR="00C150FF" w:rsidRDefault="007021D8">
      <w:pPr>
        <w:ind w:firstLine="567"/>
        <w:jc w:val="both"/>
        <w:rPr>
          <w:color w:val="000000" w:themeColor="text1"/>
          <w:sz w:val="28"/>
          <w:szCs w:val="28"/>
        </w:rPr>
      </w:pPr>
      <w:r>
        <w:rPr>
          <w:sz w:val="28"/>
          <w:szCs w:val="28"/>
        </w:rPr>
        <w:t xml:space="preserve"> Информация о про</w:t>
      </w:r>
      <w:bookmarkStart w:id="0" w:name="_GoBack"/>
      <w:bookmarkEnd w:id="0"/>
      <w:r>
        <w:rPr>
          <w:sz w:val="28"/>
          <w:szCs w:val="28"/>
        </w:rPr>
        <w:t>ведении ККР размещается на сайте органов, по заказу</w:t>
      </w:r>
      <w:r>
        <w:rPr>
          <w:sz w:val="28"/>
          <w:szCs w:val="28"/>
        </w:rPr>
        <w:t xml:space="preserve"> которых проводятся такие работы (органы местного самоуправления), или на сайте Росреестра. Сведения об осуществлении ККР можно увидеть на информационных щитах органов местного самоуправления муниципальных образований, сельских поселений, на территории кот</w:t>
      </w:r>
      <w:r>
        <w:rPr>
          <w:sz w:val="28"/>
          <w:szCs w:val="28"/>
        </w:rPr>
        <w:t xml:space="preserve">орых планируются ККР. Помимо указанного обозначенная информация размещается на сайте Министерства  имущественных отношений и градостроительной деятельности Вологодской области (в разделе «Деятельность»), в группе Управления </w:t>
      </w:r>
      <w:proofErr w:type="spellStart"/>
      <w:r>
        <w:rPr>
          <w:sz w:val="28"/>
          <w:szCs w:val="28"/>
        </w:rPr>
        <w:t>Росрееестра</w:t>
      </w:r>
      <w:proofErr w:type="spellEnd"/>
      <w:r>
        <w:rPr>
          <w:sz w:val="28"/>
          <w:szCs w:val="28"/>
        </w:rPr>
        <w:t xml:space="preserve"> по Вологодской облас</w:t>
      </w:r>
      <w:r>
        <w:rPr>
          <w:sz w:val="28"/>
          <w:szCs w:val="28"/>
        </w:rPr>
        <w:t>ти «</w:t>
      </w:r>
      <w:proofErr w:type="spellStart"/>
      <w:r>
        <w:rPr>
          <w:sz w:val="28"/>
          <w:szCs w:val="28"/>
        </w:rPr>
        <w:t>ВКонтакте</w:t>
      </w:r>
      <w:proofErr w:type="spellEnd"/>
      <w:r>
        <w:rPr>
          <w:sz w:val="28"/>
          <w:szCs w:val="28"/>
        </w:rPr>
        <w:t xml:space="preserve">» </w:t>
      </w:r>
      <w:hyperlink r:id="rId6" w:tgtFrame="https://vk.com/public_rosreestr35">
        <w:r>
          <w:rPr>
            <w:rStyle w:val="ad"/>
            <w:sz w:val="28"/>
            <w:szCs w:val="28"/>
          </w:rPr>
          <w:t>(https://vk.com/public_rosreestr35</w:t>
        </w:r>
      </w:hyperlink>
      <w:r>
        <w:t>).</w:t>
      </w:r>
    </w:p>
    <w:sectPr w:rsidR="00C150FF">
      <w:pgSz w:w="11906" w:h="16838"/>
      <w:pgMar w:top="1134" w:right="850"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FF"/>
    <w:rsid w:val="007021D8"/>
    <w:rsid w:val="00C150F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a9">
    <w:name w:val="Верхний колонтитул Знак"/>
    <w:basedOn w:val="a0"/>
    <w:link w:val="aa"/>
    <w:uiPriority w:val="99"/>
    <w:qFormat/>
  </w:style>
  <w:style w:type="character" w:customStyle="1" w:styleId="FooterChar">
    <w:name w:val="Footer Char"/>
    <w:basedOn w:val="a0"/>
    <w:uiPriority w:val="99"/>
    <w:qFormat/>
  </w:style>
  <w:style w:type="character" w:customStyle="1" w:styleId="ab">
    <w:name w:val="Нижний колонтитул Знак"/>
    <w:link w:val="ac"/>
    <w:uiPriority w:val="99"/>
    <w:qFormat/>
  </w:style>
  <w:style w:type="character" w:styleId="ad">
    <w:name w:val="Hyperlink"/>
    <w:uiPriority w:val="99"/>
    <w:unhideWhenUsed/>
    <w:rPr>
      <w:color w:val="0563C1" w:themeColor="hyperlink"/>
      <w:u w:val="single"/>
    </w:rPr>
  </w:style>
  <w:style w:type="character" w:customStyle="1" w:styleId="ae">
    <w:name w:val="Текст сноски Знак"/>
    <w:link w:val="af"/>
    <w:uiPriority w:val="99"/>
    <w:qFormat/>
    <w:rPr>
      <w:sz w:val="18"/>
    </w:rPr>
  </w:style>
  <w:style w:type="character" w:customStyle="1" w:styleId="af0">
    <w:name w:val="Символ сноски"/>
    <w:uiPriority w:val="99"/>
    <w:unhideWhenUsed/>
    <w:qFormat/>
    <w:rPr>
      <w:vertAlign w:val="superscript"/>
    </w:rPr>
  </w:style>
  <w:style w:type="character" w:styleId="af1">
    <w:name w:val="footnote reference"/>
    <w:rPr>
      <w:vertAlign w:val="superscript"/>
    </w:rPr>
  </w:style>
  <w:style w:type="character" w:customStyle="1" w:styleId="af2">
    <w:name w:val="Текст концевой сноски Знак"/>
    <w:link w:val="af3"/>
    <w:uiPriority w:val="99"/>
    <w:qFormat/>
    <w:rPr>
      <w:sz w:val="20"/>
    </w:rPr>
  </w:style>
  <w:style w:type="character" w:customStyle="1" w:styleId="af4">
    <w:name w:val="Символ концевой сноски"/>
    <w:uiPriority w:val="99"/>
    <w:semiHidden/>
    <w:unhideWhenUsed/>
    <w:qFormat/>
    <w:rPr>
      <w:vertAlign w:val="superscript"/>
    </w:rPr>
  </w:style>
  <w:style w:type="character" w:styleId="af5">
    <w:name w:val="endnote reference"/>
    <w:rPr>
      <w:vertAlign w:val="superscript"/>
    </w:rPr>
  </w:style>
  <w:style w:type="character" w:customStyle="1" w:styleId="af6">
    <w:name w:val="Текст выноски Знак"/>
    <w:basedOn w:val="a0"/>
    <w:link w:val="af7"/>
    <w:uiPriority w:val="99"/>
    <w:semiHidden/>
    <w:qFormat/>
    <w:rPr>
      <w:rFonts w:ascii="Segoe UI" w:eastAsia="Times New Roman" w:hAnsi="Segoe UI" w:cs="Segoe UI"/>
      <w:sz w:val="18"/>
      <w:szCs w:val="18"/>
      <w:lang w:eastAsia="ru-RU"/>
    </w:rPr>
  </w:style>
  <w:style w:type="character" w:styleId="af8">
    <w:name w:val="annotation reference"/>
    <w:basedOn w:val="a0"/>
    <w:uiPriority w:val="99"/>
    <w:semiHidden/>
    <w:unhideWhenUsed/>
    <w:qFormat/>
    <w:rsid w:val="00BE5216"/>
    <w:rPr>
      <w:sz w:val="16"/>
      <w:szCs w:val="16"/>
    </w:rPr>
  </w:style>
  <w:style w:type="character" w:customStyle="1" w:styleId="af9">
    <w:name w:val="Текст примечания Знак"/>
    <w:basedOn w:val="a0"/>
    <w:link w:val="afa"/>
    <w:uiPriority w:val="99"/>
    <w:semiHidden/>
    <w:qFormat/>
    <w:rsid w:val="00BE5216"/>
    <w:rPr>
      <w:rFonts w:ascii="Times New Roman" w:eastAsia="Times New Roman" w:hAnsi="Times New Roman" w:cs="Times New Roman"/>
      <w:sz w:val="20"/>
      <w:szCs w:val="20"/>
      <w:lang w:eastAsia="ru-RU"/>
    </w:rPr>
  </w:style>
  <w:style w:type="character" w:customStyle="1" w:styleId="afb">
    <w:name w:val="Тема примечания Знак"/>
    <w:basedOn w:val="af9"/>
    <w:link w:val="afc"/>
    <w:uiPriority w:val="99"/>
    <w:semiHidden/>
    <w:qFormat/>
    <w:rsid w:val="00BE5216"/>
    <w:rPr>
      <w:rFonts w:ascii="Times New Roman" w:eastAsia="Times New Roman" w:hAnsi="Times New Roman" w:cs="Times New Roman"/>
      <w:b/>
      <w:bCs/>
      <w:sz w:val="20"/>
      <w:szCs w:val="20"/>
      <w:lang w:eastAsia="ru-RU"/>
    </w:rPr>
  </w:style>
  <w:style w:type="character" w:styleId="afd">
    <w:name w:val="line number"/>
  </w:style>
  <w:style w:type="paragraph" w:customStyle="1" w:styleId="afe">
    <w:name w:val="Заголовок"/>
    <w:basedOn w:val="a"/>
    <w:next w:val="aff"/>
    <w:qFormat/>
    <w:pPr>
      <w:keepNext/>
      <w:spacing w:before="240" w:after="120"/>
    </w:pPr>
    <w:rPr>
      <w:rFonts w:ascii="PT Astra Serif" w:eastAsia="Tahoma" w:hAnsi="PT Astra Serif" w:cs="Noto Sans Devanagari"/>
      <w:sz w:val="28"/>
      <w:szCs w:val="28"/>
    </w:rPr>
  </w:style>
  <w:style w:type="paragraph" w:styleId="aff">
    <w:name w:val="Body Text"/>
    <w:basedOn w:val="a"/>
    <w:pPr>
      <w:spacing w:after="140" w:line="276" w:lineRule="auto"/>
    </w:pPr>
  </w:style>
  <w:style w:type="paragraph" w:styleId="aff0">
    <w:name w:val="List"/>
    <w:basedOn w:val="aff"/>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rPr>
  </w:style>
  <w:style w:type="paragraph" w:styleId="aff2">
    <w:name w:val="index heading"/>
    <w:basedOn w:val="afe"/>
  </w:style>
  <w:style w:type="paragraph" w:styleId="aff3">
    <w:name w:val="List Paragraph"/>
    <w:basedOn w:val="a"/>
    <w:uiPriority w:val="34"/>
    <w:qFormat/>
    <w:pPr>
      <w:ind w:left="720"/>
      <w:contextualSpacing/>
    </w:pPr>
  </w:style>
  <w:style w:type="paragraph" w:styleId="aff4">
    <w:name w:val="No Spacing"/>
    <w:uiPriority w:val="1"/>
    <w:qFormat/>
  </w:style>
  <w:style w:type="paragraph" w:styleId="a4">
    <w:name w:val="Title"/>
    <w:basedOn w:val="a"/>
    <w:next w:val="a"/>
    <w:link w:val="a3"/>
    <w:uiPriority w:val="10"/>
    <w:qFormat/>
    <w:pPr>
      <w:spacing w:before="300" w:after="200"/>
      <w:contextualSpacing/>
    </w:pPr>
    <w:rPr>
      <w:sz w:val="48"/>
      <w:szCs w:val="48"/>
    </w:rPr>
  </w:style>
  <w:style w:type="paragraph" w:styleId="a6">
    <w:name w:val="Subtitle"/>
    <w:basedOn w:val="a"/>
    <w:next w:val="a"/>
    <w:link w:val="a5"/>
    <w:uiPriority w:val="11"/>
    <w:qFormat/>
    <w:pPr>
      <w:spacing w:before="200" w:after="200"/>
    </w:p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f5">
    <w:name w:val="Колонтитул"/>
    <w:basedOn w:val="a"/>
    <w:qFormat/>
  </w:style>
  <w:style w:type="paragraph" w:styleId="aa">
    <w:name w:val="header"/>
    <w:basedOn w:val="a"/>
    <w:link w:val="a9"/>
    <w:uiPriority w:val="99"/>
    <w:unhideWhenUsed/>
    <w:pPr>
      <w:tabs>
        <w:tab w:val="center" w:pos="7143"/>
        <w:tab w:val="right" w:pos="14287"/>
      </w:tabs>
    </w:pPr>
  </w:style>
  <w:style w:type="paragraph" w:styleId="ac">
    <w:name w:val="footer"/>
    <w:basedOn w:val="a"/>
    <w:link w:val="ab"/>
    <w:uiPriority w:val="99"/>
    <w:unhideWhenUsed/>
    <w:pPr>
      <w:tabs>
        <w:tab w:val="center" w:pos="7143"/>
        <w:tab w:val="right" w:pos="14287"/>
      </w:tabs>
    </w:pPr>
  </w:style>
  <w:style w:type="paragraph" w:customStyle="1" w:styleId="caption1">
    <w:name w:val="caption1"/>
    <w:basedOn w:val="a"/>
    <w:next w:val="a"/>
    <w:uiPriority w:val="35"/>
    <w:semiHidden/>
    <w:unhideWhenUsed/>
    <w:qFormat/>
    <w:pPr>
      <w:spacing w:line="276" w:lineRule="auto"/>
    </w:pPr>
    <w:rPr>
      <w:b/>
      <w:bCs/>
      <w:color w:val="5B9BD5" w:themeColor="accent1"/>
      <w:sz w:val="18"/>
      <w:szCs w:val="18"/>
    </w:rPr>
  </w:style>
  <w:style w:type="paragraph" w:styleId="af">
    <w:name w:val="footnote text"/>
    <w:basedOn w:val="a"/>
    <w:link w:val="ae"/>
    <w:uiPriority w:val="99"/>
    <w:semiHidden/>
    <w:unhideWhenUsed/>
    <w:pPr>
      <w:spacing w:after="40"/>
    </w:pPr>
    <w:rPr>
      <w:sz w:val="18"/>
    </w:rPr>
  </w:style>
  <w:style w:type="paragraph" w:styleId="af3">
    <w:name w:val="endnote text"/>
    <w:basedOn w:val="a"/>
    <w:link w:val="af2"/>
    <w:uiPriority w:val="99"/>
    <w:semiHidden/>
    <w:unhideWhenUsed/>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6">
    <w:name w:val="TOC Heading"/>
    <w:uiPriority w:val="39"/>
    <w:unhideWhenUsed/>
    <w:qFormat/>
    <w:pPr>
      <w:spacing w:after="160" w:line="259" w:lineRule="auto"/>
    </w:pPr>
  </w:style>
  <w:style w:type="paragraph" w:styleId="aff7">
    <w:name w:val="table of figures"/>
    <w:basedOn w:val="a"/>
    <w:next w:val="a"/>
    <w:uiPriority w:val="99"/>
    <w:unhideWhenUsed/>
  </w:style>
  <w:style w:type="paragraph" w:styleId="aff8">
    <w:name w:val="Normal (Web)"/>
    <w:basedOn w:val="a"/>
    <w:uiPriority w:val="99"/>
    <w:unhideWhenUsed/>
    <w:qFormat/>
    <w:pPr>
      <w:spacing w:beforeAutospacing="1" w:afterAutospacing="1"/>
    </w:pPr>
  </w:style>
  <w:style w:type="paragraph" w:styleId="af7">
    <w:name w:val="Balloon Text"/>
    <w:basedOn w:val="a"/>
    <w:link w:val="af6"/>
    <w:uiPriority w:val="99"/>
    <w:semiHidden/>
    <w:unhideWhenUsed/>
    <w:qFormat/>
    <w:rPr>
      <w:rFonts w:ascii="Segoe UI" w:hAnsi="Segoe UI" w:cs="Segoe UI"/>
      <w:sz w:val="18"/>
      <w:szCs w:val="18"/>
    </w:rPr>
  </w:style>
  <w:style w:type="paragraph" w:styleId="afa">
    <w:name w:val="annotation text"/>
    <w:basedOn w:val="a"/>
    <w:link w:val="af9"/>
    <w:uiPriority w:val="99"/>
    <w:semiHidden/>
    <w:unhideWhenUsed/>
    <w:qFormat/>
    <w:rsid w:val="00BE5216"/>
    <w:rPr>
      <w:sz w:val="20"/>
      <w:szCs w:val="20"/>
    </w:rPr>
  </w:style>
  <w:style w:type="paragraph" w:styleId="afc">
    <w:name w:val="annotation subject"/>
    <w:basedOn w:val="afa"/>
    <w:next w:val="afa"/>
    <w:link w:val="afb"/>
    <w:uiPriority w:val="99"/>
    <w:semiHidden/>
    <w:unhideWhenUsed/>
    <w:qFormat/>
    <w:rsid w:val="00BE5216"/>
    <w:rPr>
      <w:b/>
      <w:bCs/>
    </w:rPr>
  </w:style>
  <w:style w:type="table" w:styleId="aff9">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sz w:val="22"/>
      </w:rPr>
      <w:tblPr/>
      <w:tcPr>
        <w:tcBorders>
          <w:top w:val="single" w:sz="4" w:space="0" w:color="FFFFFF" w:themeColor="light1"/>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sz w:val="22"/>
      </w:rPr>
      <w:tblPr/>
      <w:tcPr>
        <w:tcBorders>
          <w:top w:val="single" w:sz="4" w:space="0" w:color="FFFFFF" w:themeColor="light1"/>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b/>
        <w:sz w:val="22"/>
      </w:rPr>
      <w:tblPr/>
      <w:tcPr>
        <w:shd w:val="clear" w:color="8DA9DB"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k.com/public_rosreestr3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6CB25-4915-4AAE-A115-83533652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661</Words>
  <Characters>3771</Characters>
  <Application>Microsoft Office Word</Application>
  <DocSecurity>0</DocSecurity>
  <Lines>31</Lines>
  <Paragraphs>8</Paragraphs>
  <ScaleCrop>false</ScaleCrop>
  <Company>Hewlett-Packard Company</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Распутина Екатерина Игоревна</dc:creator>
  <dc:description/>
  <cp:lastModifiedBy>Зеленая Елена Григорьевна</cp:lastModifiedBy>
  <cp:revision>13</cp:revision>
  <cp:lastPrinted>2025-03-27T07:40:00Z</cp:lastPrinted>
  <dcterms:created xsi:type="dcterms:W3CDTF">2025-03-25T08:23:00Z</dcterms:created>
  <dcterms:modified xsi:type="dcterms:W3CDTF">2025-03-28T10:43:00Z</dcterms:modified>
  <dc:language>ru-RU</dc:language>
</cp:coreProperties>
</file>