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8"/>
        <w:jc w:val="center"/>
        <w:spacing w:before="0" w:beforeAutospacing="0" w:after="0" w:afterAutospacing="0"/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74235" cy="384949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84734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774234" cy="3849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4.66pt;height:303.1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</w:rPr>
      </w:r>
    </w:p>
    <w:p>
      <w:pPr>
        <w:ind w:firstLine="708"/>
        <w:jc w:val="center"/>
        <w:spacing w:before="0" w:beforeAutospacing="0" w:after="0" w:afterAutospacing="0"/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</w:rPr>
      </w:r>
    </w:p>
    <w:p>
      <w:pPr>
        <w:ind w:firstLine="708"/>
        <w:jc w:val="center"/>
        <w:spacing w:before="0" w:beforeAutospacing="0" w:after="0" w:afterAutospacing="0"/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</w:rPr>
        <w:t xml:space="preserve">В Вологодском Росреестре напомнили о размерах госпошлины за операции с недвижимостью</w:t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</w:rPr>
      </w:r>
    </w:p>
    <w:p>
      <w:pPr>
        <w:ind w:firstLine="708"/>
        <w:jc w:val="center"/>
        <w:spacing w:before="0" w:beforeAutospacing="0" w:after="0" w:afterAutospacing="0"/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</w:rPr>
      </w:r>
    </w:p>
    <w:p>
      <w:pPr>
        <w:ind w:firstLine="708"/>
        <w:jc w:val="both"/>
        <w:spacing w:before="0" w:beforeAutospacing="0" w:after="0" w:afterAutospacing="0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В связи с поступающими вопросами вологжан Управление Росреестра по Вологодской области разъясняет информацию по размерам и порядке оплаты государственных пошлин за осуществление кадастрового учета и (или) регистр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ации прав на объекты недвижимости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</w:rPr>
        <w:t xml:space="preserve">.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</w:rPr>
      </w:r>
    </w:p>
    <w:p>
      <w:pPr>
        <w:ind w:firstLine="708"/>
        <w:jc w:val="both"/>
        <w:spacing w:before="0" w:beforeAutospacing="0" w:after="0" w:afterAutospacing="0"/>
        <w:rPr>
          <w:rFonts w:ascii="PT Astra Serif" w:hAnsi="PT Astra Serif" w:cs="PT Astra Serif"/>
          <w:color w:val="auto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</w:rPr>
        <w:t xml:space="preserve">Размеры госпошлины установлены Налоговым кодексом РФ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. Сумма платежа зависит от статуса плательщика (физическое или юридическое лицо), а также от типа недвижимости и характера учетно-регистрационных действий.</w:t>
      </w:r>
      <w:r>
        <w:rPr>
          <w:rFonts w:ascii="PT Astra Serif" w:hAnsi="PT Astra Serif" w:cs="PT Astra Serif"/>
          <w:color w:val="auto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auto"/>
          <w:sz w:val="28"/>
          <w:szCs w:val="28"/>
          <w:highlight w:val="none"/>
        </w:rPr>
      </w:r>
    </w:p>
    <w:p>
      <w:pPr>
        <w:ind w:left="0" w:right="0" w:firstLine="708"/>
        <w:jc w:val="both"/>
        <w:spacing w:after="0" w:afterAutospacing="0"/>
        <w:rPr>
          <w:rFonts w:ascii="PT Astra Serif" w:hAnsi="PT Astra Serif" w:cs="PT Astra Serif"/>
          <w:b w:val="0"/>
          <w:bCs w:val="0"/>
          <w:color w:val="auto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Физические лица и организации, имеющие льготы по оплате государственной пошлины, перечислены в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 </w:t>
      </w:r>
      <w:hyperlink r:id="rId10" w:tooltip="https://nalog.garant.ru/fns/nk/e9d06202785c1155103073039e04315a/" w:history="1">
        <w:r>
          <w:rPr>
            <w:rStyle w:val="838"/>
            <w:rFonts w:ascii="PT Astra Serif" w:hAnsi="PT Astra Serif" w:eastAsia="PT Astra Serif" w:cs="PT Astra Serif"/>
            <w:b w:val="0"/>
            <w:bCs w:val="0"/>
            <w:color w:val="auto"/>
            <w:sz w:val="28"/>
            <w:szCs w:val="28"/>
            <w:u w:val="none"/>
          </w:rPr>
          <w:t xml:space="preserve">статье 333.35</w:t>
        </w:r>
      </w:hyperlink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Налогового кодекса РФ.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 </w:t>
      </w:r>
      <w:r>
        <w:rPr>
          <w:rFonts w:ascii="PT Astra Serif" w:hAnsi="PT Astra Serif" w:cs="PT Astra Serif"/>
          <w:b w:val="0"/>
          <w:bCs w:val="0"/>
          <w:color w:val="auto"/>
          <w:sz w:val="28"/>
          <w:szCs w:val="28"/>
        </w:rPr>
      </w:r>
      <w:r>
        <w:rPr>
          <w:rFonts w:ascii="PT Astra Serif" w:hAnsi="PT Astra Serif" w:cs="PT Astra Serif"/>
          <w:b w:val="0"/>
          <w:bCs w:val="0"/>
          <w:color w:val="auto"/>
          <w:sz w:val="28"/>
          <w:szCs w:val="28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b w:val="0"/>
          <w:bCs w:val="0"/>
          <w:color w:val="auto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В соответствии с положениями ст. 333.35 НК РФ от уплаты государственной пошлины освобождаются следующие категории граждан:</w:t>
      </w:r>
      <w:r>
        <w:rPr>
          <w:rFonts w:ascii="PT Astra Serif" w:hAnsi="PT Astra Serif" w:cs="PT Astra Serif"/>
          <w:b w:val="0"/>
          <w:bCs w:val="0"/>
          <w:color w:val="auto"/>
          <w:sz w:val="28"/>
          <w:szCs w:val="28"/>
          <w:highlight w:val="none"/>
        </w:rPr>
      </w:r>
      <w:r>
        <w:rPr>
          <w:rFonts w:ascii="PT Astra Serif" w:hAnsi="PT Astra Serif" w:cs="PT Astra Serif"/>
          <w:b w:val="0"/>
          <w:bCs w:val="0"/>
          <w:color w:val="auto"/>
          <w:sz w:val="28"/>
          <w:szCs w:val="28"/>
          <w:highlight w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b w:val="0"/>
          <w:bCs w:val="0"/>
          <w:color w:val="auto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- ветераны и инвалиды Великой Отечественной войны, бывшие узники фашистских концлагерей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;</w:t>
      </w:r>
      <w:r>
        <w:rPr>
          <w:rFonts w:ascii="PT Astra Serif" w:hAnsi="PT Astra Serif" w:cs="PT Astra Serif"/>
          <w:b w:val="0"/>
          <w:bCs w:val="0"/>
          <w:color w:val="auto"/>
          <w:sz w:val="28"/>
          <w:szCs w:val="28"/>
        </w:rPr>
      </w:r>
      <w:r>
        <w:rPr>
          <w:rFonts w:ascii="PT Astra Serif" w:hAnsi="PT Astra Serif" w:cs="PT Astra Serif"/>
          <w:b w:val="0"/>
          <w:bCs w:val="0"/>
          <w:color w:val="auto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b w:val="0"/>
          <w:bCs w:val="0"/>
          <w:color w:val="auto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          - граждане, признаваемые малоимущими в соответствии с Жилищным </w:t>
      </w:r>
      <w:hyperlink r:id="rId11" w:tooltip="consultantplus://offline/ref=9C469464C6EEB241C8F071CA50E735BC02C38F582C35285BD9802B4738CB315D2825A6BE46A16BB0B1PFL" w:history="1">
        <w:r>
          <w:rPr>
            <w:rStyle w:val="838"/>
            <w:rFonts w:ascii="PT Astra Serif" w:hAnsi="PT Astra Serif" w:eastAsia="PT Astra Serif" w:cs="PT Astra Serif"/>
            <w:b w:val="0"/>
            <w:bCs w:val="0"/>
            <w:color w:val="auto"/>
            <w:sz w:val="28"/>
            <w:szCs w:val="28"/>
            <w:u w:val="none"/>
          </w:rPr>
          <w:t xml:space="preserve">кодексом</w:t>
        </w:r>
      </w:hyperlink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 России;</w:t>
      </w:r>
      <w:r>
        <w:rPr>
          <w:rFonts w:ascii="PT Astra Serif" w:hAnsi="PT Astra Serif" w:cs="PT Astra Serif"/>
          <w:b w:val="0"/>
          <w:bCs w:val="0"/>
          <w:color w:val="auto"/>
          <w:sz w:val="28"/>
          <w:szCs w:val="28"/>
        </w:rPr>
      </w:r>
      <w:r>
        <w:rPr>
          <w:rFonts w:ascii="PT Astra Serif" w:hAnsi="PT Astra Serif" w:cs="PT Astra Serif"/>
          <w:b w:val="0"/>
          <w:bCs w:val="0"/>
          <w:color w:val="auto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b w:val="0"/>
          <w:bCs w:val="0"/>
          <w:color w:val="auto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   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    -  физические лица, пострадавшие в результате чрезвычайной ситуации за государственную регистрацию права собственности на жилые помещения или доли в них, приобретенные ими в связи с реализацией мер социальной поддержки взамен жилых помещений, утраченны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х ими вследствие такой чрезвычайной ситуации (подпункт 16 пункта 1 статьи 333.35 НК РФ);</w:t>
      </w:r>
      <w:r>
        <w:rPr>
          <w:rFonts w:ascii="PT Astra Serif" w:hAnsi="PT Astra Serif" w:cs="PT Astra Serif"/>
          <w:b w:val="0"/>
          <w:bCs w:val="0"/>
          <w:color w:val="auto"/>
          <w:sz w:val="28"/>
          <w:szCs w:val="28"/>
        </w:rPr>
      </w:r>
      <w:r>
        <w:rPr>
          <w:rFonts w:ascii="PT Astra Serif" w:hAnsi="PT Astra Serif" w:cs="PT Astra Serif"/>
          <w:b w:val="0"/>
          <w:bCs w:val="0"/>
          <w:color w:val="auto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b w:val="0"/>
          <w:bCs w:val="0"/>
          <w:color w:val="auto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       - граждане, являющиеся наследниками недвижимого имущества участников СВО, погибших либо умерших от полученного увечья в случаях, указанных в абзаце третьем пункта 5 статьи 333.38 НК РФ.</w:t>
      </w:r>
      <w:r>
        <w:rPr>
          <w:rFonts w:ascii="PT Astra Serif" w:hAnsi="PT Astra Serif" w:cs="PT Astra Serif"/>
          <w:b w:val="0"/>
          <w:bCs w:val="0"/>
          <w:color w:val="auto"/>
          <w:sz w:val="28"/>
          <w:szCs w:val="28"/>
        </w:rPr>
      </w:r>
      <w:r>
        <w:rPr>
          <w:rFonts w:ascii="PT Astra Serif" w:hAnsi="PT Astra Serif" w:cs="PT Astra Serif"/>
          <w:b w:val="0"/>
          <w:bCs w:val="0"/>
          <w:color w:val="auto"/>
          <w:sz w:val="28"/>
          <w:szCs w:val="28"/>
        </w:rPr>
      </w:r>
    </w:p>
    <w:p>
      <w:pPr>
        <w:ind w:left="0" w:right="0" w:firstLine="0"/>
        <w:jc w:val="both"/>
        <w:spacing w:after="0" w:afterAutospacing="0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   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    С 31 июля 2025 года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от уплаты госпошлины за кадастровый учёт и/или государственную регистрацию права собственности освобождены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 ли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ца, принимающие (принимавшие) участие в специальной военной операции, а также обеспечивающие (обеспечивавшие) выполнение задач в ходе специальной военной операции на территориях Украины, Донецкой Народной Республики, Луганской Народной Республики, Запорожс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кой области и Херсонской области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.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</w:rPr>
        <w:tab/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Помимо указанного, государственная пошлина также не уплачивается: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pStyle w:val="860"/>
        <w:numPr>
          <w:ilvl w:val="0"/>
          <w:numId w:val="13"/>
        </w:numPr>
        <w:ind w:right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за регистрацию ранее возникших прав на недвижимость (права, возникшие до 31.01.1998);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pStyle w:val="860"/>
        <w:numPr>
          <w:ilvl w:val="0"/>
          <w:numId w:val="12"/>
        </w:numPr>
        <w:ind w:right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за внесение в Единый государственный реестр недвижимости (ЕГРН) сведений о ранее учтенных объектах недвижимости;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pStyle w:val="860"/>
        <w:numPr>
          <w:ilvl w:val="0"/>
          <w:numId w:val="11"/>
        </w:numPr>
        <w:ind w:right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за 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исправление технических ошибок в ЕГРН, допущенных сотрудником органа регистрации прав;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  <w14:ligatures w14:val="none"/>
        </w:rPr>
      </w:r>
    </w:p>
    <w:p>
      <w:pPr>
        <w:pStyle w:val="860"/>
        <w:numPr>
          <w:ilvl w:val="0"/>
          <w:numId w:val="11"/>
        </w:numPr>
        <w:ind w:right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</w:rPr>
        <w:t xml:space="preserve">при кадастровом учете и регистрации прекращения прав в связи с прекращением существования объекта недвижимости.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</w:rPr>
        <w:tab/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С 1 января 2025 года при расчете государственной пошлины за регистрацию прав на объекты недвижимости необходимо учитывать кадастровую стоимость объекта.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  <w14:ligatures w14:val="none"/>
        </w:rPr>
      </w:r>
    </w:p>
    <w:p>
      <w:pPr>
        <w:ind w:left="0" w:right="0" w:firstLine="0"/>
        <w:jc w:val="center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</w:rPr>
      </w:r>
      <w:bookmarkStart w:id="0" w:name="undefined"/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</w:rPr>
      </w:r>
      <w:bookmarkEnd w:id="0"/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14:ligatures w14:val="none"/>
        </w:rPr>
      </w:r>
    </w:p>
    <w:p>
      <w:pPr>
        <w:ind w:left="0" w:right="0" w:firstLine="0"/>
        <w:jc w:val="center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</w:rPr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</w:rPr>
        <w:t xml:space="preserve">Размеры государственной пошлины за учетно</w:t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</w:rPr>
        <w:t xml:space="preserve">-</w:t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</w:rPr>
        <w:t xml:space="preserve">регистрационные действия:</w:t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  <w14:ligatures w14:val="none"/>
        </w:rPr>
      </w:r>
    </w:p>
    <w:p>
      <w:pPr>
        <w:ind w:left="0" w:right="0" w:firstLine="0"/>
        <w:jc w:val="center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  <w14:ligatures w14:val="none"/>
        </w:rPr>
      </w:r>
    </w:p>
    <w:tbl>
      <w:tblPr>
        <w:tblStyle w:val="712"/>
        <w:tblW w:w="14735" w:type="dxa"/>
        <w:tblInd w:w="5" w:type="dxa"/>
        <w:tblLayout w:type="fixed"/>
        <w:tblCellMar>
          <w:left w:w="106" w:type="dxa"/>
          <w:top w:w="0" w:type="dxa"/>
          <w:right w:w="48" w:type="dxa"/>
          <w:bottom w:w="0" w:type="dxa"/>
        </w:tblCellMar>
        <w:tblLook w:val="04A0" w:firstRow="1" w:lastRow="0" w:firstColumn="1" w:lastColumn="0" w:noHBand="0" w:noVBand="1"/>
      </w:tblPr>
      <w:tblGrid>
        <w:gridCol w:w="854"/>
        <w:gridCol w:w="4051"/>
        <w:gridCol w:w="2405"/>
        <w:gridCol w:w="3457"/>
        <w:gridCol w:w="3969"/>
      </w:tblGrid>
      <w:tr>
        <w:tblPrEx/>
        <w:trPr>
          <w:trHeight w:val="13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№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п/п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Вид услуги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Основание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57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Размер госпошлины для объекта нед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виж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имости,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если кадастровая стоимость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:u w:val="single"/>
              </w:rPr>
              <w:t xml:space="preserve">меньше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20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млн.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руб. (физические лица)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и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22 млн.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руб. (юридические лица),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либо не определена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Размер госпошлины по формуле для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объекта недвижимости если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кадастровая стоимость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:u w:val="single"/>
              </w:rPr>
              <w:t xml:space="preserve">больше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20 млн. руб.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(физические лице)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и 22 млн. руб. (юридические лица)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3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854" w:type="dxa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gridSpan w:val="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881" w:type="dxa"/>
            <w:textDirection w:val="lrTb"/>
            <w:noWrap w:val="false"/>
          </w:tcPr>
          <w:p>
            <w:pPr>
              <w:ind w:left="1351"/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</w:rPr>
              <w:t xml:space="preserve">Размер государственной пошлины за государственную регистрацию прав</w:t>
            </w: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r>
          </w:p>
        </w:tc>
      </w:tr>
      <w:tr>
        <w:tblPrEx/>
        <w:trPr>
          <w:trHeight w:val="70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1.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vMerge w:val="restart"/>
            <w:textDirection w:val="lrTb"/>
            <w:noWrap w:val="false"/>
          </w:tcPr>
          <w:p>
            <w:pPr>
              <w:ind w:left="0" w:right="59"/>
              <w:jc w:val="both"/>
              <w:spacing w:after="81" w:line="238" w:lineRule="auto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Государственная регистрация прав, ограничений прав и обременений объектов недвижимости, сделок с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объектом недвижимости,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если такие сделки подлежат государственной регистрации в соответствии с федеральным законом, за исключением юридически значимых действий, предусмотренных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. 21, 22.1, 22.4, 24 - 26, 26.1, 27.2, 28 – 31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пп.22 п.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57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физических лиц –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4 тыс.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руб.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0,02 % * кадастровая стоимость, но не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&lt; 0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,02 % * Цена сделки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и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не &gt;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500 тыс. руб.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Сумма пошлины округляется до полных 100 руб. в меньшую сторону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Кадастровая стоимость установленная на дату обращения за совершением юридически значимого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действия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4242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57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юридических лиц –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44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тыс. руб.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(за исключением, религиозных организаций одного вероисповедания,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являющих сторонами заключенного между ними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договора пожертвования недвижимого имущества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религиозного назначения)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0,2 % * кадастровая стоимость, но не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&lt; 0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,2 % * цена сделки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и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не &gt;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1 млн. руб.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:highlight w:val="none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:highlight w:val="none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:highlight w:val="none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Сумма госпошлины округляется до полных 100 руб. в меньшую сторону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Кадастровая стоимость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– установленная на дату обращения за совершением юридически значимого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действия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</w:tbl>
    <w:tbl>
      <w:tblPr>
        <w:tblStyle w:val="712"/>
        <w:tblW w:w="14735" w:type="dxa"/>
        <w:tblInd w:w="5" w:type="dxa"/>
        <w:tblLayout w:type="fixed"/>
        <w:tblCellMar>
          <w:left w:w="106" w:type="dxa"/>
          <w:top w:w="0" w:type="dxa"/>
          <w:right w:w="48" w:type="dxa"/>
          <w:bottom w:w="0" w:type="dxa"/>
        </w:tblCellMar>
        <w:tblLook w:val="04A0" w:firstRow="1" w:lastRow="0" w:firstColumn="1" w:lastColumn="0" w:noHBand="0" w:noVBand="1"/>
      </w:tblPr>
      <w:tblGrid>
        <w:gridCol w:w="854"/>
        <w:gridCol w:w="4051"/>
        <w:gridCol w:w="2405"/>
        <w:gridCol w:w="3457"/>
        <w:gridCol w:w="3969"/>
      </w:tblGrid>
      <w:tr>
        <w:tblPrEx/>
        <w:trPr>
          <w:trHeight w:val="1114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restart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restart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restart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Религиозные организаций одного вероисповедания, являющие сторонами заключенного между ними договора пожертвования недвижимого имущества религиозного назначения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2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</w:tc>
      </w:tr>
    </w:tbl>
    <w:tbl>
      <w:tblPr>
        <w:tblStyle w:val="712"/>
        <w:tblW w:w="14735" w:type="dxa"/>
        <w:tblInd w:w="5" w:type="dxa"/>
        <w:tblLayout w:type="fixed"/>
        <w:tblCellMar>
          <w:left w:w="106" w:type="dxa"/>
          <w:top w:w="0" w:type="dxa"/>
          <w:right w:w="0" w:type="dxa"/>
          <w:bottom w:w="0" w:type="dxa"/>
        </w:tblCellMar>
        <w:tblLook w:val="04A0" w:firstRow="1" w:lastRow="0" w:firstColumn="1" w:lastColumn="0" w:noHBand="0" w:noVBand="1"/>
      </w:tblPr>
      <w:tblGrid>
        <w:gridCol w:w="854"/>
        <w:gridCol w:w="4051"/>
        <w:gridCol w:w="2405"/>
        <w:gridCol w:w="7425"/>
      </w:tblGrid>
      <w:tr>
        <w:tblPrEx/>
        <w:trPr>
          <w:trHeight w:val="304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2.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Государственная регистрация права физического лица на земельный участок для ведения личного подсобного хозяйства, огородничества, садоводства, индивидуального гаражного или индивидуального жилищного строительства, либо на создаваемый или созданный на таком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земельном участке объект недвижимого имущества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пп.24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физических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700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166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3.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Государственная регистрация прав, ограничений прав и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обременений  земельных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участков из земель сельскохозяйственного назначения, сделок с такими земельными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участками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пп.25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всех категорий плательщиков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700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111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4.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Государственная регистрация доли в праве общей собственности на земельные участки из земель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сельскохозяйственного назначения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пп.26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всех категорий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плательщиков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200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</w:tbl>
    <w:tbl>
      <w:tblPr>
        <w:tblStyle w:val="712"/>
        <w:tblW w:w="14735" w:type="dxa"/>
        <w:tblInd w:w="5" w:type="dxa"/>
        <w:tblLayout w:type="fixed"/>
        <w:tblCellMar>
          <w:left w:w="106" w:type="dxa"/>
          <w:top w:w="0" w:type="dxa"/>
          <w:right w:w="48" w:type="dxa"/>
          <w:bottom w:w="0" w:type="dxa"/>
        </w:tblCellMar>
        <w:tblLook w:val="04A0" w:firstRow="1" w:lastRow="0" w:firstColumn="1" w:lastColumn="0" w:noHBand="0" w:noVBand="1"/>
      </w:tblPr>
      <w:tblGrid>
        <w:gridCol w:w="854"/>
        <w:gridCol w:w="4051"/>
        <w:gridCol w:w="2405"/>
        <w:gridCol w:w="7425"/>
      </w:tblGrid>
      <w:tr>
        <w:tblPrEx/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5.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Государственная регистрация прав, ограничений прав и обременений объектов сетей газораспределения и сетей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газопотребления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, созданных при выполнении мероприятий  по подключению (технологическому присоединению)  объектов капитального строительства, а также г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осударственная регистрация сделок с указанными объектами недвижимости, если такие сделки подлежат государственной регистрации в соответствии с федеральным законом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пп.26.1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всех категорий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плательщиков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2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83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6.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Внесение изменений в записи ЕГРН о правах, об ограничениях прав и обременениях недвижимого имущества, за исключением внесения изменений и дополнений в регистрационную запись об ипотеке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пп.27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физических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700 руб.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828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юридических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2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13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7.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Государственная регистрация перехода права собственности на объект недвижимости в связи с реорганизацией юридического лица в форме преобразования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пп.27.1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юридических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2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83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8.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Государственная регистрация договора аренды, уступки прав требования по договорам аренды, если такие договоры подлежит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регистрации в ЕГРН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пп.27.2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физических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4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562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юридических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44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56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9.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Государственная регистрация соглашения об изменении договора аренды, если такой договор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зарегистрирован в ЕГРН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пп.27.2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физических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700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564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юридических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2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</w:tbl>
    <w:tbl>
      <w:tblPr>
        <w:tblStyle w:val="712"/>
        <w:tblW w:w="14735" w:type="dxa"/>
        <w:tblInd w:w="5" w:type="dxa"/>
        <w:tblLayout w:type="fixed"/>
        <w:tblCellMar>
          <w:left w:w="106" w:type="dxa"/>
          <w:top w:w="0" w:type="dxa"/>
          <w:right w:w="48" w:type="dxa"/>
          <w:bottom w:w="0" w:type="dxa"/>
        </w:tblCellMar>
        <w:tblLook w:val="04A0" w:firstRow="1" w:lastRow="0" w:firstColumn="1" w:lastColumn="0" w:noHBand="0" w:noVBand="1"/>
      </w:tblPr>
      <w:tblGrid>
        <w:gridCol w:w="854"/>
        <w:gridCol w:w="4051"/>
        <w:gridCol w:w="2405"/>
        <w:gridCol w:w="7425"/>
      </w:tblGrid>
      <w:tr>
        <w:tblPrEx/>
        <w:trPr>
          <w:trHeight w:val="5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10.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Государственная регистрация соглашения о расторжении договора аренды, если такой договор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зарегистрирован в ЕГРН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пп.27.2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физических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700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562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юридических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2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111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11.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Государственная регистрация ипотеки, включая внесение в ЕГРН записи об ипотеке как обременении объекта недвижимости, за исключением земельных участков из земель сельскохозяйственного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назначения (пп.25 п.1 ст.333.33 НК РФ)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пп.28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физических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1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42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юридических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4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:highlight w:val="none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Если договор об ипотеке или договор, включающий соглашение об ипотеке, обеспечивающее исполнение обязательства заключен между физическим лицом и юридическим лицом, государст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венная пошлина взимается в размерах, установленных для физических лиц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:highlight w:val="none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:highlight w:val="none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56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12.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Внесение изменений и дополнений в регистрационную запись об ипотеке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пп.28.1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физических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400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1394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юридических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1 200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Если соглашение об изменении заключен между физическим лицом и юридическим лицом, государственная пошлина взимается в размерах, установленных для физических лиц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249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13.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Государственная регистрация смены залогодержателя вследствие уступки прав по основному обязательству, обеспеченному ипотекой, либо по договору об ипотеке, в том числе сделки по уступке прав требования, включая внесение в ЕГРН записи об ипотеке, осуществляе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мой при смене залогодержателя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пп.29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всех категорий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плательщиков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2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155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14.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Государственная регистрация смены владельца закладной, в том числе сделки по уступке прав требования,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включая внесение в ЕГРН записи об ипотеке, осуществляемой при смене владельца закладной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пп.29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всех категорий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плательщиков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–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1 тыс. руб.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</w:tbl>
    <w:tbl>
      <w:tblPr>
        <w:tblStyle w:val="712"/>
        <w:tblW w:w="14735" w:type="dxa"/>
        <w:tblInd w:w="5" w:type="dxa"/>
        <w:tblLayout w:type="fixed"/>
        <w:tblCellMar>
          <w:left w:w="106" w:type="dxa"/>
          <w:top w:w="0" w:type="dxa"/>
          <w:right w:w="0" w:type="dxa"/>
          <w:bottom w:w="0" w:type="dxa"/>
        </w:tblCellMar>
        <w:tblLook w:val="04A0" w:firstRow="1" w:lastRow="0" w:firstColumn="1" w:lastColumn="0" w:noHBand="0" w:noVBand="1"/>
      </w:tblPr>
      <w:tblGrid>
        <w:gridCol w:w="854"/>
        <w:gridCol w:w="4051"/>
        <w:gridCol w:w="2405"/>
        <w:gridCol w:w="7425"/>
      </w:tblGrid>
      <w:tr>
        <w:tblPrEx/>
        <w:trPr>
          <w:trHeight w:val="65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15.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left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Договор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ab/>
              <w:t xml:space="preserve">участия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ab/>
              <w:t xml:space="preserve">в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долевом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строительстве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пп.30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физических лиц –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700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562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юридических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12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83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16.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Дополнительное соглашение к договору участия в долевом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строительстве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пп.30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всех категорий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плательщиков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–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350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6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17.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Соглашение о расторжении договора участия в долевом строительстве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пп.30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всех категорий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плательщиков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–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350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84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18.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Уступка прав требования по договору участия в долевом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строительстве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пп.30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всех категорий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плательщиков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–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350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56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19.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Государственная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ab/>
              <w:t xml:space="preserve">регистрация сервитута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пп.31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В интересах физических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1,5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562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В интересах юридических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6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331"/>
        </w:trPr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735" w:type="dxa"/>
            <w:textDirection w:val="lrTb"/>
            <w:noWrap w:val="false"/>
          </w:tcPr>
          <w:p>
            <w:pPr>
              <w:ind w:left="0" w:right="0" w:firstLine="0"/>
              <w:jc w:val="center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Размер государственной пошлины за государственный кадастровый учет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56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20.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Государственный кадастровый учет созданных (образованных) объектов недвижимости без одновременной государственной регистрации прав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пп.22.2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физических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2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552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юридических лиц –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22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</w:tc>
      </w:tr>
    </w:tbl>
    <w:tbl>
      <w:tblPr>
        <w:tblStyle w:val="712"/>
        <w:tblW w:w="14735" w:type="dxa"/>
        <w:tblInd w:w="5" w:type="dxa"/>
        <w:tblLayout w:type="fixed"/>
        <w:tblCellMar>
          <w:left w:w="106" w:type="dxa"/>
          <w:top w:w="0" w:type="dxa"/>
          <w:right w:w="48" w:type="dxa"/>
          <w:bottom w:w="0" w:type="dxa"/>
        </w:tblCellMar>
        <w:tblLook w:val="04A0" w:firstRow="1" w:lastRow="0" w:firstColumn="1" w:lastColumn="0" w:noHBand="0" w:noVBand="1"/>
      </w:tblPr>
      <w:tblGrid>
        <w:gridCol w:w="845"/>
        <w:gridCol w:w="4060"/>
        <w:gridCol w:w="2460"/>
        <w:gridCol w:w="7370"/>
      </w:tblGrid>
      <w:tr>
        <w:tblPrEx/>
        <w:trPr>
          <w:trHeight w:val="56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5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21.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60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Государственный кадастровый учет в связи с изменением сведений об объекте недвижимости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0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пп.22.3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0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физических лиц -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1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562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0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юридических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2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81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5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22.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60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color w:val="auto"/>
                <w:sz w:val="24"/>
                <w:szCs w:val="24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:lang w:eastAsia="ru-RU"/>
              </w:rPr>
              <w:t xml:space="preserve">Государственный кадастровый учет земельного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:lang w:eastAsia="ru-RU"/>
              </w:rPr>
              <w:t xml:space="preserve">участка, предназначенного для ведения личного подсобного хозяйства, огородничества, садоводства, индивидуального гаражного или индивидуального жилищного строительства либо создаваемого или созданного на таком земельном участке объекта недвижимого имущества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без одновременной государственной регистрации прав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:lang w:eastAsia="ru-RU"/>
              </w:rPr>
              <w:t xml:space="preserve">)</w:t>
            </w:r>
            <w:r>
              <w:rPr>
                <w:rFonts w:ascii="PT Astra Serif" w:hAnsi="PT Astra Serif" w:eastAsia="PT Astra Serif" w:cs="PT Astra Serif"/>
                <w:color w:val="auto"/>
                <w:sz w:val="24"/>
                <w:szCs w:val="24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color w:val="auto"/>
                <w:sz w:val="24"/>
                <w:szCs w:val="24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0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пп.24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0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color w:val="auto"/>
                <w:sz w:val="24"/>
                <w:szCs w:val="24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:lang w:eastAsia="ru-RU"/>
              </w:rPr>
              <w:t xml:space="preserve">для физических лиц -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:lang w:eastAsia="ru-RU"/>
              </w:rPr>
              <w:t xml:space="preserve">700 руб.</w:t>
            </w:r>
            <w:r>
              <w:rPr>
                <w:rFonts w:ascii="PT Astra Serif" w:hAnsi="PT Astra Serif" w:eastAsia="PT Astra Serif" w:cs="PT Astra Serif"/>
                <w:color w:val="auto"/>
                <w:sz w:val="24"/>
                <w:szCs w:val="24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color w:val="auto"/>
                <w:sz w:val="24"/>
                <w:szCs w:val="24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1842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70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653"/>
        </w:trPr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735" w:type="dxa"/>
            <w:textDirection w:val="lrTb"/>
            <w:noWrap w:val="false"/>
          </w:tcPr>
          <w:p>
            <w:pPr>
              <w:ind w:left="0" w:right="0" w:firstLine="0"/>
              <w:jc w:val="center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Размер государственной пошлины за государственный кадастровый учет и государственную регистрацию прав, осуществляемые одновременно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</w:tc>
      </w:tr>
    </w:tbl>
    <w:tbl>
      <w:tblPr>
        <w:tblStyle w:val="712"/>
        <w:tblW w:w="14735" w:type="dxa"/>
        <w:tblInd w:w="5" w:type="dxa"/>
        <w:tblLayout w:type="fixed"/>
        <w:tblCellMar>
          <w:left w:w="106" w:type="dxa"/>
          <w:top w:w="0" w:type="dxa"/>
          <w:right w:w="48" w:type="dxa"/>
          <w:bottom w:w="0" w:type="dxa"/>
        </w:tblCellMar>
        <w:tblLook w:val="04A0" w:firstRow="1" w:lastRow="0" w:firstColumn="1" w:lastColumn="0" w:noHBand="0" w:noVBand="1"/>
      </w:tblPr>
      <w:tblGrid>
        <w:gridCol w:w="854"/>
        <w:gridCol w:w="4051"/>
        <w:gridCol w:w="2405"/>
        <w:gridCol w:w="3286"/>
        <w:gridCol w:w="4139"/>
      </w:tblGrid>
      <w:tr>
        <w:tblPrEx/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23.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Государственный кадастровый учет и государственная регистрация прав на созданные (образованные) объекты недвижимости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пп.22.4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физических лиц -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6 тыс. руб.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r/>
            <w:r/>
          </w:p>
        </w:tc>
      </w:tr>
      <w:tr>
        <w:tblPrEx/>
        <w:trPr>
          <w:trHeight w:val="708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ind w:left="0"/>
              <w:spacing w:after="160"/>
            </w:pPr>
            <w:r/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юридических лиц -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66 тыс. руб.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r/>
            <w:r/>
          </w:p>
        </w:tc>
      </w:tr>
      <w:tr>
        <w:tblPrEx/>
        <w:trPr>
          <w:trHeight w:val="332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24.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Государственный кадастровый учет и государственная регистрация права собственности физического лица на земельный участок для ведения личного подсобного хозяйства, огородничества, садоводства, индивидуального гаражного или индивидуального жилищного строител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ьства либо на создаваемый или созданный на таком земельном участке объект недвижимости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пп.24.1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физических лиц –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1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70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25.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Государственный кадастровый учет и государственная регистрация прав на земельный участок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из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ab/>
              <w:t xml:space="preserve">земель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сельскохозяйственного назначения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пп.25.1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Для всех категорий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плательщиков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–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</w:rPr>
              <w:t xml:space="preserve">1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</w:tr>
      <w:tr>
        <w:tblPrEx/>
        <w:trPr>
          <w:trHeight w:val="5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26.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51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За осуществляемые одновременно государственный кадастровый учет и государственную регистрацию прав на объекты сетей газораспределения и сетей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газопотребления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, созданные при выполнении мероприятий по подключению (технологическому присоединению) объектов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капитального строительства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)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 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капитального строительства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)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  <w:t xml:space="preserve">пп.26.2 п.1 ст.333.33 НК РФ </w:t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14:ligatures w14:val="none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25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after="0" w:afterAutospacing="0"/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rFonts w:ascii="PT Astra Serif" w:hAnsi="PT Astra Serif" w:eastAsia="PT Astra Serif" w:cs="PT Astra Serif"/>
                <w:b w:val="0"/>
                <w:bCs w:val="0"/>
                <w:color w:val="auto"/>
                <w:sz w:val="28"/>
                <w:szCs w:val="28"/>
                <w:lang w:eastAsia="ru-RU"/>
              </w:rPr>
              <w:t xml:space="preserve">для всех категорий плательщиков - 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:lang w:eastAsia="ru-RU"/>
              </w:rPr>
              <w:t xml:space="preserve">4 тыс. руб.</w:t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color w:val="auto"/>
                <w:sz w:val="28"/>
                <w:szCs w:val="28"/>
                <w14:ligatures w14:val="none"/>
              </w:rPr>
            </w:r>
          </w:p>
        </w:tc>
      </w:tr>
    </w:tbl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p>
      <w:pPr>
        <w:spacing w:after="0" w:line="240" w:lineRule="auto"/>
      </w:pPr>
      <w:r>
        <w:t xml:space="preserve">Контакты для СМИ:</w:t>
      </w:r>
      <w:r/>
      <w:r/>
    </w:p>
    <w:p>
      <w:pPr>
        <w:spacing w:after="0" w:line="240" w:lineRule="auto"/>
      </w:pPr>
      <w:r>
        <w:t xml:space="preserve">Пресс-служба Управления </w:t>
      </w:r>
      <w:r>
        <w:t xml:space="preserve">Росреестра</w:t>
      </w:r>
      <w:r>
        <w:t xml:space="preserve"> по Вологодской области</w:t>
      </w:r>
      <w:r/>
      <w:r/>
    </w:p>
    <w:p>
      <w:pPr>
        <w:spacing w:after="0" w:line="240" w:lineRule="auto"/>
      </w:pPr>
      <w:r>
        <w:t xml:space="preserve">(8172) 72 86 11, доб. 1045</w:t>
      </w:r>
      <w:r/>
      <w:r/>
    </w:p>
    <w:p>
      <w:pPr>
        <w:spacing w:after="0" w:line="240" w:lineRule="auto"/>
      </w:pPr>
      <w:r/>
      <w:hyperlink r:id="rId12" w:tooltip="mailto:press@r35.rosreestr.ru" w:history="1">
        <w:r>
          <w:rPr>
            <w:rStyle w:val="838"/>
            <w:lang w:val="en-US"/>
          </w:rPr>
          <w:t xml:space="preserve">press</w:t>
        </w:r>
        <w:r>
          <w:rPr>
            <w:rStyle w:val="838"/>
          </w:rPr>
          <w:t xml:space="preserve">@</w:t>
        </w:r>
        <w:r>
          <w:rPr>
            <w:rStyle w:val="838"/>
            <w:lang w:val="en-US"/>
          </w:rPr>
          <w:t xml:space="preserve">r</w:t>
        </w:r>
        <w:r>
          <w:rPr>
            <w:rStyle w:val="838"/>
          </w:rPr>
          <w:t xml:space="preserve">35.</w:t>
        </w:r>
        <w:r>
          <w:rPr>
            <w:rStyle w:val="838"/>
            <w:lang w:val="en-US"/>
          </w:rPr>
          <w:t xml:space="preserve">rosreestr</w:t>
        </w:r>
        <w:r>
          <w:rPr>
            <w:rStyle w:val="838"/>
          </w:rPr>
          <w:t xml:space="preserve">.</w:t>
        </w:r>
        <w:r>
          <w:rPr>
            <w:rStyle w:val="838"/>
            <w:lang w:val="en-US"/>
          </w:rPr>
          <w:t xml:space="preserve">ru</w:t>
        </w:r>
      </w:hyperlink>
      <w:r/>
      <w:r/>
    </w:p>
    <w:p>
      <w:pPr>
        <w:spacing w:after="0" w:line="240" w:lineRule="auto"/>
      </w:pPr>
      <w:r>
        <w:t xml:space="preserve">160001, г. Вологда, ул. Челюскинцев, д. 3</w:t>
      </w:r>
      <w:r/>
      <w:r/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14:ligatures w14:val="none"/>
        </w:rPr>
      </w:r>
    </w:p>
    <w:sectPr>
      <w:footnotePr/>
      <w:endnotePr/>
      <w:type w:val="nextPage"/>
      <w:pgSz w:w="16838" w:h="11906" w:orient="landscape"/>
      <w:pgMar w:top="709" w:right="1134" w:bottom="567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0">
    <w:name w:val="Heading 1"/>
    <w:basedOn w:val="856"/>
    <w:next w:val="856"/>
    <w:link w:val="68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1">
    <w:name w:val="Heading 1 Char"/>
    <w:link w:val="680"/>
    <w:uiPriority w:val="9"/>
    <w:rPr>
      <w:rFonts w:ascii="Arial" w:hAnsi="Arial" w:eastAsia="Arial" w:cs="Arial"/>
      <w:sz w:val="40"/>
      <w:szCs w:val="40"/>
    </w:rPr>
  </w:style>
  <w:style w:type="paragraph" w:styleId="682">
    <w:name w:val="Heading 2"/>
    <w:basedOn w:val="856"/>
    <w:next w:val="856"/>
    <w:link w:val="68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3">
    <w:name w:val="Heading 2 Char"/>
    <w:link w:val="682"/>
    <w:uiPriority w:val="9"/>
    <w:rPr>
      <w:rFonts w:ascii="Arial" w:hAnsi="Arial" w:eastAsia="Arial" w:cs="Arial"/>
      <w:sz w:val="34"/>
    </w:rPr>
  </w:style>
  <w:style w:type="paragraph" w:styleId="684">
    <w:name w:val="Heading 3"/>
    <w:basedOn w:val="856"/>
    <w:next w:val="856"/>
    <w:link w:val="68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5">
    <w:name w:val="Heading 3 Char"/>
    <w:link w:val="684"/>
    <w:uiPriority w:val="9"/>
    <w:rPr>
      <w:rFonts w:ascii="Arial" w:hAnsi="Arial" w:eastAsia="Arial" w:cs="Arial"/>
      <w:sz w:val="30"/>
      <w:szCs w:val="30"/>
    </w:rPr>
  </w:style>
  <w:style w:type="paragraph" w:styleId="686">
    <w:name w:val="Heading 4"/>
    <w:basedOn w:val="856"/>
    <w:next w:val="856"/>
    <w:link w:val="68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7">
    <w:name w:val="Heading 4 Char"/>
    <w:link w:val="686"/>
    <w:uiPriority w:val="9"/>
    <w:rPr>
      <w:rFonts w:ascii="Arial" w:hAnsi="Arial" w:eastAsia="Arial" w:cs="Arial"/>
      <w:b/>
      <w:bCs/>
      <w:sz w:val="26"/>
      <w:szCs w:val="26"/>
    </w:rPr>
  </w:style>
  <w:style w:type="paragraph" w:styleId="688">
    <w:name w:val="Heading 5"/>
    <w:basedOn w:val="856"/>
    <w:next w:val="856"/>
    <w:link w:val="68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9">
    <w:name w:val="Heading 5 Char"/>
    <w:link w:val="688"/>
    <w:uiPriority w:val="9"/>
    <w:rPr>
      <w:rFonts w:ascii="Arial" w:hAnsi="Arial" w:eastAsia="Arial" w:cs="Arial"/>
      <w:b/>
      <w:bCs/>
      <w:sz w:val="24"/>
      <w:szCs w:val="24"/>
    </w:rPr>
  </w:style>
  <w:style w:type="paragraph" w:styleId="690">
    <w:name w:val="Heading 6"/>
    <w:basedOn w:val="856"/>
    <w:next w:val="856"/>
    <w:link w:val="69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1">
    <w:name w:val="Heading 6 Char"/>
    <w:link w:val="690"/>
    <w:uiPriority w:val="9"/>
    <w:rPr>
      <w:rFonts w:ascii="Arial" w:hAnsi="Arial" w:eastAsia="Arial" w:cs="Arial"/>
      <w:b/>
      <w:bCs/>
      <w:sz w:val="22"/>
      <w:szCs w:val="22"/>
    </w:rPr>
  </w:style>
  <w:style w:type="paragraph" w:styleId="692">
    <w:name w:val="Heading 7"/>
    <w:basedOn w:val="856"/>
    <w:next w:val="856"/>
    <w:link w:val="69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3">
    <w:name w:val="Heading 7 Char"/>
    <w:link w:val="69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4">
    <w:name w:val="Heading 8"/>
    <w:basedOn w:val="856"/>
    <w:next w:val="856"/>
    <w:link w:val="69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5">
    <w:name w:val="Heading 8 Char"/>
    <w:link w:val="694"/>
    <w:uiPriority w:val="9"/>
    <w:rPr>
      <w:rFonts w:ascii="Arial" w:hAnsi="Arial" w:eastAsia="Arial" w:cs="Arial"/>
      <w:i/>
      <w:iCs/>
      <w:sz w:val="22"/>
      <w:szCs w:val="22"/>
    </w:rPr>
  </w:style>
  <w:style w:type="paragraph" w:styleId="696">
    <w:name w:val="Heading 9"/>
    <w:basedOn w:val="856"/>
    <w:next w:val="856"/>
    <w:link w:val="69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7">
    <w:name w:val="Heading 9 Char"/>
    <w:link w:val="696"/>
    <w:uiPriority w:val="9"/>
    <w:rPr>
      <w:rFonts w:ascii="Arial" w:hAnsi="Arial" w:eastAsia="Arial" w:cs="Arial"/>
      <w:i/>
      <w:iCs/>
      <w:sz w:val="21"/>
      <w:szCs w:val="21"/>
    </w:rPr>
  </w:style>
  <w:style w:type="paragraph" w:styleId="698">
    <w:name w:val="Title"/>
    <w:basedOn w:val="856"/>
    <w:next w:val="856"/>
    <w:link w:val="69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9">
    <w:name w:val="Title Char"/>
    <w:link w:val="698"/>
    <w:uiPriority w:val="10"/>
    <w:rPr>
      <w:sz w:val="48"/>
      <w:szCs w:val="48"/>
    </w:rPr>
  </w:style>
  <w:style w:type="paragraph" w:styleId="700">
    <w:name w:val="Subtitle"/>
    <w:basedOn w:val="856"/>
    <w:next w:val="856"/>
    <w:link w:val="701"/>
    <w:uiPriority w:val="11"/>
    <w:qFormat/>
    <w:pPr>
      <w:spacing w:before="200" w:after="200"/>
    </w:pPr>
    <w:rPr>
      <w:sz w:val="24"/>
      <w:szCs w:val="24"/>
    </w:rPr>
  </w:style>
  <w:style w:type="character" w:styleId="701">
    <w:name w:val="Subtitle Char"/>
    <w:link w:val="700"/>
    <w:uiPriority w:val="11"/>
    <w:rPr>
      <w:sz w:val="24"/>
      <w:szCs w:val="24"/>
    </w:rPr>
  </w:style>
  <w:style w:type="paragraph" w:styleId="702">
    <w:name w:val="Quote"/>
    <w:basedOn w:val="856"/>
    <w:next w:val="856"/>
    <w:link w:val="703"/>
    <w:uiPriority w:val="29"/>
    <w:qFormat/>
    <w:pPr>
      <w:ind w:left="720" w:right="720"/>
    </w:pPr>
    <w:rPr>
      <w:i/>
    </w:rPr>
  </w:style>
  <w:style w:type="character" w:styleId="703">
    <w:name w:val="Quote Char"/>
    <w:link w:val="702"/>
    <w:uiPriority w:val="29"/>
    <w:rPr>
      <w:i/>
    </w:rPr>
  </w:style>
  <w:style w:type="paragraph" w:styleId="704">
    <w:name w:val="Intense Quote"/>
    <w:basedOn w:val="856"/>
    <w:next w:val="856"/>
    <w:link w:val="70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5">
    <w:name w:val="Intense Quote Char"/>
    <w:link w:val="704"/>
    <w:uiPriority w:val="30"/>
    <w:rPr>
      <w:i/>
    </w:rPr>
  </w:style>
  <w:style w:type="paragraph" w:styleId="706">
    <w:name w:val="Header"/>
    <w:basedOn w:val="856"/>
    <w:link w:val="70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7">
    <w:name w:val="Header Char"/>
    <w:link w:val="706"/>
    <w:uiPriority w:val="99"/>
  </w:style>
  <w:style w:type="paragraph" w:styleId="708">
    <w:name w:val="Footer"/>
    <w:basedOn w:val="856"/>
    <w:link w:val="71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9">
    <w:name w:val="Footer Char"/>
    <w:link w:val="708"/>
    <w:uiPriority w:val="99"/>
  </w:style>
  <w:style w:type="paragraph" w:styleId="710">
    <w:name w:val="Caption"/>
    <w:basedOn w:val="856"/>
    <w:next w:val="85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1">
    <w:name w:val="Caption Char"/>
    <w:basedOn w:val="710"/>
    <w:link w:val="708"/>
    <w:uiPriority w:val="99"/>
  </w:style>
  <w:style w:type="table" w:styleId="712">
    <w:name w:val="Table Grid"/>
    <w:basedOn w:val="85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>
    <w:name w:val="Table Grid Light"/>
    <w:basedOn w:val="85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4">
    <w:name w:val="Plain Table 1"/>
    <w:basedOn w:val="85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5">
    <w:name w:val="Plain Table 2"/>
    <w:basedOn w:val="85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6">
    <w:name w:val="Plain Table 3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7">
    <w:name w:val="Plain Table 4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Plain Table 5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9">
    <w:name w:val="Grid Table 1 Light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1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2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3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4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5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6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2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1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2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3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4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5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6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1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2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3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4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5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6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4"/>
    <w:basedOn w:val="8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1">
    <w:name w:val="Grid Table 4 - Accent 1"/>
    <w:basedOn w:val="8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2">
    <w:name w:val="Grid Table 4 - Accent 2"/>
    <w:basedOn w:val="8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3">
    <w:name w:val="Grid Table 4 - Accent 3"/>
    <w:basedOn w:val="8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4">
    <w:name w:val="Grid Table 4 - Accent 4"/>
    <w:basedOn w:val="8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5">
    <w:name w:val="Grid Table 4 - Accent 5"/>
    <w:basedOn w:val="8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6">
    <w:name w:val="Grid Table 4 - Accent 6"/>
    <w:basedOn w:val="8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7">
    <w:name w:val="Grid Table 5 Dark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8">
    <w:name w:val="Grid Table 5 Dark- Accent 1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2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3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51">
    <w:name w:val="Grid Table 5 Dark- Accent 4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5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6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54">
    <w:name w:val="Grid Table 6 Colorful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5">
    <w:name w:val="Grid Table 6 Colorful - Accent 1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6">
    <w:name w:val="Grid Table 6 Colorful - Accent 2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7">
    <w:name w:val="Grid Table 6 Colorful - Accent 3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8">
    <w:name w:val="Grid Table 6 Colorful - Accent 4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9">
    <w:name w:val="Grid Table 6 Colorful - Accent 5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0">
    <w:name w:val="Grid Table 6 Colorful - Accent 6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1">
    <w:name w:val="Grid Table 7 Colorful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1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2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3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4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5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6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1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2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3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4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5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6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2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6">
    <w:name w:val="List Table 2 - Accent 1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7">
    <w:name w:val="List Table 2 - Accent 2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8">
    <w:name w:val="List Table 2 - Accent 3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9">
    <w:name w:val="List Table 2 - Accent 4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0">
    <w:name w:val="List Table 2 - Accent 5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1">
    <w:name w:val="List Table 2 - Accent 6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2">
    <w:name w:val="List Table 3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1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2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3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4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5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6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1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2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3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4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5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6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5 Dark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1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2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3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4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5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6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6 Colorful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4">
    <w:name w:val="List Table 6 Colorful - Accent 1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5">
    <w:name w:val="List Table 6 Colorful - Accent 2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6">
    <w:name w:val="List Table 6 Colorful - Accent 3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7">
    <w:name w:val="List Table 6 Colorful - Accent 4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8">
    <w:name w:val="List Table 6 Colorful - Accent 5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9">
    <w:name w:val="List Table 6 Colorful - Accent 6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0">
    <w:name w:val="List Table 7 Colorful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1">
    <w:name w:val="List Table 7 Colorful - Accent 1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12">
    <w:name w:val="List Table 7 Colorful - Accent 2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13">
    <w:name w:val="List Table 7 Colorful - Accent 3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14">
    <w:name w:val="List Table 7 Colorful - Accent 4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15">
    <w:name w:val="List Table 7 Colorful - Accent 5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16">
    <w:name w:val="List Table 7 Colorful - Accent 6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17">
    <w:name w:val="Lined - Accent"/>
    <w:basedOn w:val="8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8">
    <w:name w:val="Lined - Accent 1"/>
    <w:basedOn w:val="8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19">
    <w:name w:val="Lined - Accent 2"/>
    <w:basedOn w:val="8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20">
    <w:name w:val="Lined - Accent 3"/>
    <w:basedOn w:val="8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1">
    <w:name w:val="Lined - Accent 4"/>
    <w:basedOn w:val="8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2">
    <w:name w:val="Lined - Accent 5"/>
    <w:basedOn w:val="8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23">
    <w:name w:val="Lined - Accent 6"/>
    <w:basedOn w:val="8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4">
    <w:name w:val="Bordered &amp; Lined - Accent"/>
    <w:basedOn w:val="8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5">
    <w:name w:val="Bordered &amp; Lined - Accent 1"/>
    <w:basedOn w:val="8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26">
    <w:name w:val="Bordered &amp; Lined - Accent 2"/>
    <w:basedOn w:val="8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27">
    <w:name w:val="Bordered &amp; Lined - Accent 3"/>
    <w:basedOn w:val="8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8">
    <w:name w:val="Bordered &amp; Lined - Accent 4"/>
    <w:basedOn w:val="8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9">
    <w:name w:val="Bordered &amp; Lined - Accent 5"/>
    <w:basedOn w:val="8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30">
    <w:name w:val="Bordered &amp; Lined - Accent 6"/>
    <w:basedOn w:val="8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31">
    <w:name w:val="Bordered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2">
    <w:name w:val="Bordered - Accent 1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3">
    <w:name w:val="Bordered - Accent 2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4">
    <w:name w:val="Bordered - Accent 3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5">
    <w:name w:val="Bordered - Accent 4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6">
    <w:name w:val="Bordered - Accent 5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7">
    <w:name w:val="Bordered - Accent 6"/>
    <w:basedOn w:val="8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8">
    <w:name w:val="Hyperlink"/>
    <w:uiPriority w:val="99"/>
    <w:unhideWhenUsed/>
    <w:rPr>
      <w:color w:val="0000ff" w:themeColor="hyperlink"/>
      <w:u w:val="single"/>
    </w:rPr>
  </w:style>
  <w:style w:type="paragraph" w:styleId="839">
    <w:name w:val="footnote text"/>
    <w:basedOn w:val="856"/>
    <w:link w:val="840"/>
    <w:uiPriority w:val="99"/>
    <w:semiHidden/>
    <w:unhideWhenUsed/>
    <w:pPr>
      <w:spacing w:after="40" w:line="240" w:lineRule="auto"/>
    </w:pPr>
    <w:rPr>
      <w:sz w:val="18"/>
    </w:rPr>
  </w:style>
  <w:style w:type="character" w:styleId="840">
    <w:name w:val="Footnote Text Char"/>
    <w:link w:val="839"/>
    <w:uiPriority w:val="99"/>
    <w:rPr>
      <w:sz w:val="18"/>
    </w:rPr>
  </w:style>
  <w:style w:type="character" w:styleId="841">
    <w:name w:val="footnote reference"/>
    <w:uiPriority w:val="99"/>
    <w:unhideWhenUsed/>
    <w:rPr>
      <w:vertAlign w:val="superscript"/>
    </w:rPr>
  </w:style>
  <w:style w:type="paragraph" w:styleId="842">
    <w:name w:val="endnote text"/>
    <w:basedOn w:val="856"/>
    <w:link w:val="843"/>
    <w:uiPriority w:val="99"/>
    <w:semiHidden/>
    <w:unhideWhenUsed/>
    <w:pPr>
      <w:spacing w:after="0" w:line="240" w:lineRule="auto"/>
    </w:pPr>
    <w:rPr>
      <w:sz w:val="20"/>
    </w:rPr>
  </w:style>
  <w:style w:type="character" w:styleId="843">
    <w:name w:val="Endnote Text Char"/>
    <w:link w:val="842"/>
    <w:uiPriority w:val="99"/>
    <w:rPr>
      <w:sz w:val="20"/>
    </w:rPr>
  </w:style>
  <w:style w:type="character" w:styleId="844">
    <w:name w:val="endnote reference"/>
    <w:uiPriority w:val="99"/>
    <w:semiHidden/>
    <w:unhideWhenUsed/>
    <w:rPr>
      <w:vertAlign w:val="superscript"/>
    </w:rPr>
  </w:style>
  <w:style w:type="paragraph" w:styleId="845">
    <w:name w:val="toc 1"/>
    <w:basedOn w:val="856"/>
    <w:next w:val="856"/>
    <w:uiPriority w:val="39"/>
    <w:unhideWhenUsed/>
    <w:pPr>
      <w:ind w:left="0" w:right="0" w:firstLine="0"/>
      <w:spacing w:after="57"/>
    </w:pPr>
  </w:style>
  <w:style w:type="paragraph" w:styleId="846">
    <w:name w:val="toc 2"/>
    <w:basedOn w:val="856"/>
    <w:next w:val="856"/>
    <w:uiPriority w:val="39"/>
    <w:unhideWhenUsed/>
    <w:pPr>
      <w:ind w:left="283" w:right="0" w:firstLine="0"/>
      <w:spacing w:after="57"/>
    </w:pPr>
  </w:style>
  <w:style w:type="paragraph" w:styleId="847">
    <w:name w:val="toc 3"/>
    <w:basedOn w:val="856"/>
    <w:next w:val="856"/>
    <w:uiPriority w:val="39"/>
    <w:unhideWhenUsed/>
    <w:pPr>
      <w:ind w:left="567" w:right="0" w:firstLine="0"/>
      <w:spacing w:after="57"/>
    </w:pPr>
  </w:style>
  <w:style w:type="paragraph" w:styleId="848">
    <w:name w:val="toc 4"/>
    <w:basedOn w:val="856"/>
    <w:next w:val="856"/>
    <w:uiPriority w:val="39"/>
    <w:unhideWhenUsed/>
    <w:pPr>
      <w:ind w:left="850" w:right="0" w:firstLine="0"/>
      <w:spacing w:after="57"/>
    </w:pPr>
  </w:style>
  <w:style w:type="paragraph" w:styleId="849">
    <w:name w:val="toc 5"/>
    <w:basedOn w:val="856"/>
    <w:next w:val="856"/>
    <w:uiPriority w:val="39"/>
    <w:unhideWhenUsed/>
    <w:pPr>
      <w:ind w:left="1134" w:right="0" w:firstLine="0"/>
      <w:spacing w:after="57"/>
    </w:pPr>
  </w:style>
  <w:style w:type="paragraph" w:styleId="850">
    <w:name w:val="toc 6"/>
    <w:basedOn w:val="856"/>
    <w:next w:val="856"/>
    <w:uiPriority w:val="39"/>
    <w:unhideWhenUsed/>
    <w:pPr>
      <w:ind w:left="1417" w:right="0" w:firstLine="0"/>
      <w:spacing w:after="57"/>
    </w:pPr>
  </w:style>
  <w:style w:type="paragraph" w:styleId="851">
    <w:name w:val="toc 7"/>
    <w:basedOn w:val="856"/>
    <w:next w:val="856"/>
    <w:uiPriority w:val="39"/>
    <w:unhideWhenUsed/>
    <w:pPr>
      <w:ind w:left="1701" w:right="0" w:firstLine="0"/>
      <w:spacing w:after="57"/>
    </w:pPr>
  </w:style>
  <w:style w:type="paragraph" w:styleId="852">
    <w:name w:val="toc 8"/>
    <w:basedOn w:val="856"/>
    <w:next w:val="856"/>
    <w:uiPriority w:val="39"/>
    <w:unhideWhenUsed/>
    <w:pPr>
      <w:ind w:left="1984" w:right="0" w:firstLine="0"/>
      <w:spacing w:after="57"/>
    </w:pPr>
  </w:style>
  <w:style w:type="paragraph" w:styleId="853">
    <w:name w:val="toc 9"/>
    <w:basedOn w:val="856"/>
    <w:next w:val="856"/>
    <w:uiPriority w:val="39"/>
    <w:unhideWhenUsed/>
    <w:pPr>
      <w:ind w:left="2268" w:right="0" w:firstLine="0"/>
      <w:spacing w:after="57"/>
    </w:pPr>
  </w:style>
  <w:style w:type="paragraph" w:styleId="854">
    <w:name w:val="TOC Heading"/>
    <w:uiPriority w:val="39"/>
    <w:unhideWhenUsed/>
  </w:style>
  <w:style w:type="paragraph" w:styleId="855">
    <w:name w:val="table of figures"/>
    <w:basedOn w:val="856"/>
    <w:next w:val="856"/>
    <w:uiPriority w:val="99"/>
    <w:unhideWhenUsed/>
    <w:pPr>
      <w:spacing w:after="0" w:afterAutospacing="0"/>
    </w:pPr>
  </w:style>
  <w:style w:type="paragraph" w:styleId="856" w:default="1">
    <w:name w:val="Normal"/>
    <w:qFormat/>
  </w:style>
  <w:style w:type="table" w:styleId="85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8" w:default="1">
    <w:name w:val="No List"/>
    <w:uiPriority w:val="99"/>
    <w:semiHidden/>
    <w:unhideWhenUsed/>
  </w:style>
  <w:style w:type="paragraph" w:styleId="859">
    <w:name w:val="No Spacing"/>
    <w:basedOn w:val="856"/>
    <w:uiPriority w:val="1"/>
    <w:qFormat/>
    <w:pPr>
      <w:spacing w:after="0" w:line="240" w:lineRule="auto"/>
    </w:pPr>
  </w:style>
  <w:style w:type="paragraph" w:styleId="860">
    <w:name w:val="List Paragraph"/>
    <w:basedOn w:val="856"/>
    <w:uiPriority w:val="34"/>
    <w:qFormat/>
    <w:pPr>
      <w:contextualSpacing/>
      <w:ind w:left="720"/>
    </w:pPr>
  </w:style>
  <w:style w:type="character" w:styleId="861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hyperlink" Target="https://nalog.garant.ru/fns/nk/e9d06202785c1155103073039e04315a/" TargetMode="External"/><Relationship Id="rId11" Type="http://schemas.openxmlformats.org/officeDocument/2006/relationships/hyperlink" Target="consultantplus://offline/ref=9C469464C6EEB241C8F071CA50E735BC02C38F582C35285BD9802B4738CB315D2825A6BE46A16BB0B1PFL" TargetMode="External"/><Relationship Id="rId12" Type="http://schemas.openxmlformats.org/officeDocument/2006/relationships/hyperlink" Target="mailto:press@r35.rosreest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8</cp:revision>
  <dcterms:modified xsi:type="dcterms:W3CDTF">2025-11-19T06:54:28Z</dcterms:modified>
</cp:coreProperties>
</file>