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6028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6392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96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11.83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center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center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  <w:t xml:space="preserve">В Вологодском Росреестре рассказали какие земельные участки считаются заброшенными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 сентября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Правительство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России утвердило перечень признаков неиспользования земельных участков из состава земель населенных пунктов, садовых и огородных земельных участков. Принятый правовой акт содержит критерии, которые позволят оценить осуществляется ли использование земельн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соответствии с целевым назначением или нет.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том как будет применяться новелла закона на практике рассказала заместитель руководителя Управления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Росреестра по Вологодской области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Елена Александровна Орлова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1 сентября 2025 года вступило в сил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у </w:t>
      </w:r>
      <w:hyperlink r:id="rId10" w:tooltip="http://publication.pravo.gov.ru/document/0001202506020049?ysclid=mdswxepsjy510352874" w:history="1">
        <w:r>
          <w:rPr>
            <w:rFonts w:ascii="Times New Roman" w:hAnsi="Times New Roman" w:eastAsia="Times New Roman" w:cs="Times New Roman"/>
            <w:b/>
            <w:bCs/>
            <w:color w:val="auto"/>
            <w:sz w:val="28"/>
            <w:szCs w:val="28"/>
            <w:highlight w:val="white"/>
          </w:rPr>
          <w:t xml:space="preserve">постан</w:t>
        </w:r>
        <w:r>
          <w:rPr>
            <w:rFonts w:ascii="Times New Roman" w:hAnsi="Times New Roman" w:eastAsia="Times New Roman" w:cs="Times New Roman"/>
            <w:b/>
            <w:bCs/>
            <w:color w:val="auto"/>
            <w:sz w:val="28"/>
            <w:szCs w:val="28"/>
            <w:highlight w:val="white"/>
          </w:rPr>
          <w:t xml:space="preserve">овление Правительства РФ</w:t>
        </w:r>
      </w:hyperlink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 № 826 от 31.05.2025, согласно которому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действуют новые критерии неиспользования земельных участков.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Какие задачи преследует закон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Во-первых, это защита добросовестных собственников от необоснованных жалоб и претензий соседей, а также оценочных суждений инспектора.  Теперь решение о наличии или 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тсутствии нарушения будет приниматься исключительно на основе утвержденных признаков.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Во-вторых, это механизм воздействия на тех, кто бросил свою землю либо использует ее не по целевому назначению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что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гарантирует дополнительную защиту граждан, чьи участки расположены по соседству с заброшенными и захламленными территориями.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2.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Как данный закон отразится на вологжанах и как самостоятельно определить, что земельный участок не используется?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 1 марта 2025 года действует Федеральный закон от 08.08.2024 № 307-ФЗ, который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устанавливает новые требования к владельцам земельных участков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в границах населенных пунктов, а также садовых и огородных участков. Согласно документу, собственникам земли предоставляется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три года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на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освоение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(использование по целевому назначению) земли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 момента приобретения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Освоение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включает следующие работы: очистка участка от древесно-кустарниковой растительности и сорняков, за исключением деревьев, предназначенных для озеленен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я; удаление предметов, создающих захламление; устранение отходов производства и потребления, включая твердые коммунальные отходы; осушение заболоченных участков или уменьшение уровня грунтовых вод; увлажнение пересохших участков; выполнение земляных работ,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необходимых для целевого использования участка - разработка, уплотнение и перемещение грунта; создание насыпей; снятие и хранение плодородного слоя почвы; рекультивация и пр.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За эти три года правообладатели должны взять в оборот земельные участки и начать их осваивать.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 сентября 2025 года вступило в силу постановление Правительства РФ № 826 от 31.05.2025, которое определило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конкретные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признаки неиспользования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 земельных участков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относящихся к землям населенных пунктов, садовым и огородным участкам, а также участкам с 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зрешением на строительство. Эти критерии помогут оценить, соответствует ли использование земли ее целевому назначению.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Критерии разные и зависят от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вида разрешенного использования земельного участка.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Неиспользуемыми земельными участками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признаются участки, обладающие следующими признаками: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еиспользуемым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садовым и огородным участком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, участком для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личного подсобного хозяйства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будет считаться участок в случае если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более половины участка захламлено или загрязнено отходами или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заросло сорняками высотой более одного метра, деревьями, кустарниками, которые не служат элементами благоустройства и озеленения (по-простому говоря, бурьяном).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для участков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для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индивидуального жилищного строительства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признаком неиспользования станет отсутствие построенного и зарегистрированного в ЕГРН права собственности на жилой дом в течение семи лет с момента приобретения земли.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земельные участки на которых расположены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аброшенные жилые дома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 разрушенными стенами, крышей, выбитыми рамами или стеклами также указывают о неиспользовании участка. В данной ситуации собственнику дается один год для начала работ по приведению строений в нормальное состояние.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для земельных участков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для строительства нежилых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зданий или сооружений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(не ИЖС)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признаком неиспользования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будет  являться отсутствие построенного здания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течение 5 лет с покупки (аренды)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земли. В данном случае срок может быть иной, если он напрямую указан в разрешении на ст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роительство объекта недвижимости.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Кроме того, для всех земельных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связанных со строительством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(ИЖС, строительство нежилых зданий, восстановление заброшенных домов)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границах населённых пунктов, а также садовых и огородных участков общим признаком неиспользования является захламление или загрязнение отходами более 50% их площади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3.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Как и какое надзорное ведомство будет выявлять эти признаки?  Может ли основанием для этих действий служить обращение соседей?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Выявлять нарушения будут инспекторы по использованию и охране земель Управления Росреестра по Вологодской области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а также сотрудники уполномоченных органов местного самоуправления. Основанием для проведения проверки может являться обращение гражданина, поступившее в надзорное ведомство.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4.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Какие санкции грозят владельцу участка с признаками неиспользования: предупреждения, денежные штрафы, изъятие? Будут ли у владельца шанс исправить ситуацию? Если да, то какие сроки для этого предусмотрены?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случае выявления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фактов неиспользования земельных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при  проведении Росреестром контрольных (надзорных) мероприятий, правообладателю таких участков будет объявлено предостережение о недопустимости нарушения обязательных требований с предложением принять меры по использованию земли.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Если меры по использованию земельного участка приняты не будут, то нарушителю будет выдано предписание об устранении нарушений. В документе будет указан конкретный срок, в течение которого необходимо устранить нарушение (как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правило, 6 месяцев). Следует отметить, что при наличии уважительных причин, по которым невозможно исполнить предписание (например, нахождение в длительной командировке или болезнь), срок предписания может быть продлен по ходатайству гражданина.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истечении срока исполнения предписания, проводится новое контрольное (надзорное) мероприятие. В случае неи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сполнения предписания, государственный инспектор составляет протокол об административном правонарушении по ч. 25 ст. 19.5 КоАП РФ, предусматривающей штраф от 10 до 20 тысяч рублей. Протокол направляется на рассмотрение мировому судь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е. В случае привлечения к административной ответственности, постановление судьи направляется в орган местного самоуправления для принятия мер, в том числе 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white"/>
        </w:rPr>
        <w:t xml:space="preserve">по обращению в суд в целях изъятия земельного участка.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Ранее подобные нарушения надзорные ведомства фиксировали? Как поступали с нарушителями (сколько штрафов наложено, сколько земельных участков изъято и в чью пользу)?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2025 году выявлено 52 нарушения, связанных с неиспользованием земельных участков. По всем фактам землевладельцам объявлены предостережения о недопустимости нарушения обязательных требований.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Фактов изъятия земельных участков не зафиксировано.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2024 году выявлено 431 нарушение, в 4 случаях выданы предписания об устранении нарушений, в остальных проведена профилактика в виде объявления предостережений. Три гражданина привлечены к административной ответственности в виде предупреждений.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6.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Что можно предпринять вологжанам -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собственникам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 земельных участков, которые по каким-то причинам не могут использовать участок по прямому назначению? </w:t>
      </w:r>
      <w:r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i/>
          <w:color w:val="auto"/>
          <w:sz w:val="24"/>
          <w:szCs w:val="24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случае когда собственник земельного участка не может привести свой участок в порядок в соответствии с видом разрешенного использования, то он может этот участок продать, подарить, сдать в аренду  или отказаться от права собственности на него.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Отказаться от права собственности на земельный участок можно путем подач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и заявления об отказе через офис МФЦ. В этом случае участок поступит в муниципальную собственность и санкции вам не грозят.</w:t>
      </w:r>
      <w:r>
        <w:rPr>
          <w:rFonts w:ascii="Times New Roman" w:hAnsi="Times New Roman" w:eastAsia="Times New Roman" w:cs="Times New Roman"/>
          <w:color w:val="auto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7. Как вологжанам в наглядной форме ознакомиться с принятыми изменениями земельного законодательства?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- Для удобства граждан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Росреестр разработал </w:t>
      </w:r>
      <w:hyperlink r:id="rId11" w:tooltip="https://rosreestr.gov.ru/open-service/obzor-zakonov-o-nedvizhimosti/priznaki-neispolzovaniya-zemelnykh-uchastkov-chto-sleduet-uchityvat/" w:history="1">
        <w:r>
          <w:rPr>
            <w:rFonts w:ascii="Times New Roman" w:hAnsi="Times New Roman" w:eastAsia="Times New Roman" w:cs="Times New Roman"/>
            <w:color w:val="auto"/>
            <w:sz w:val="28"/>
            <w:szCs w:val="28"/>
            <w:highlight w:val="white"/>
          </w:rPr>
          <w:t xml:space="preserve">методическое пособие</w:t>
        </w:r>
      </w:hyperlink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  в связи с началом применения с 1 сентября 2025 года признаков неиспользования земельных участков в населенных пунктах, садовых и огородных участков. В пособии содержится подробная информация, о каких признаках идет речь и что делать собственни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кам, чтобы не допустить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нарушений.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Ознакомиться с методичкой можно по </w:t>
      </w:r>
      <w:hyperlink r:id="rId12" w:tooltip="https://rosreestr.gov.ru/upload/Doc/press/%D0%9F%D1%80%D0%B8%D0%B7%D0%BD%D0%B0%D0%BA%D0%B8_%D0%BD%D0%B5%D0%B8%D1%81%D0%BF%D0%BE%D0%BB%D1%8C%D0%B7%D0%BE%D0%B2%D0%B0%D0%BD%D0%B8%D1%8F_%D0%B7%D0%B5%D0%BC%D0%B5%D0%BB%D1%8C%D0%BD%D1%8B%D1%85_%D1%83%D1%87%D0%B0%D1%81%D1%82%D0%BA%D0%BE%D0%B2.pdf" w:history="1">
        <w:r>
          <w:rPr>
            <w:rFonts w:ascii="Times New Roman" w:hAnsi="Times New Roman" w:eastAsia="Times New Roman" w:cs="Times New Roman"/>
            <w:color w:val="auto"/>
            <w:sz w:val="28"/>
            <w:szCs w:val="28"/>
            <w:highlight w:val="white"/>
          </w:rPr>
          <w:t xml:space="preserve">ссылке</w:t>
        </w:r>
      </w:hyperlink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3" w:tooltip="mailto:press@r35.rosreestr.ru" w:history="1">
        <w:r>
          <w:rPr>
            <w:rStyle w:val="822"/>
            <w:lang w:val="en-US"/>
          </w:rPr>
          <w:t xml:space="preserve">press</w:t>
        </w:r>
        <w:r>
          <w:rPr>
            <w:rStyle w:val="822"/>
          </w:rPr>
          <w:t xml:space="preserve">@</w:t>
        </w:r>
        <w:r>
          <w:rPr>
            <w:rStyle w:val="822"/>
            <w:lang w:val="en-US"/>
          </w:rPr>
          <w:t xml:space="preserve">r</w:t>
        </w:r>
        <w:r>
          <w:rPr>
            <w:rStyle w:val="822"/>
          </w:rPr>
          <w:t xml:space="preserve">35.</w:t>
        </w:r>
        <w:r>
          <w:rPr>
            <w:rStyle w:val="822"/>
            <w:lang w:val="en-US"/>
          </w:rPr>
          <w:t xml:space="preserve">rosreestr</w:t>
        </w:r>
        <w:r>
          <w:rPr>
            <w:rStyle w:val="822"/>
          </w:rPr>
          <w:t xml:space="preserve">.</w:t>
        </w:r>
        <w:r>
          <w:rPr>
            <w:rStyle w:val="822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sectPr>
      <w:footnotePr/>
      <w:endnotePr/>
      <w:type w:val="nextPage"/>
      <w:pgSz w:w="11906" w:h="16838" w:orient="portrait"/>
      <w:pgMar w:top="709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4">
    <w:name w:val="Heading 1"/>
    <w:basedOn w:val="840"/>
    <w:next w:val="840"/>
    <w:link w:val="66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5">
    <w:name w:val="Heading 1 Char"/>
    <w:link w:val="664"/>
    <w:uiPriority w:val="9"/>
    <w:rPr>
      <w:rFonts w:ascii="Arial" w:hAnsi="Arial" w:eastAsia="Arial" w:cs="Arial"/>
      <w:sz w:val="40"/>
      <w:szCs w:val="40"/>
    </w:rPr>
  </w:style>
  <w:style w:type="paragraph" w:styleId="666">
    <w:name w:val="Heading 2"/>
    <w:basedOn w:val="840"/>
    <w:next w:val="840"/>
    <w:link w:val="66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7">
    <w:name w:val="Heading 2 Char"/>
    <w:link w:val="666"/>
    <w:uiPriority w:val="9"/>
    <w:rPr>
      <w:rFonts w:ascii="Arial" w:hAnsi="Arial" w:eastAsia="Arial" w:cs="Arial"/>
      <w:sz w:val="34"/>
    </w:rPr>
  </w:style>
  <w:style w:type="paragraph" w:styleId="668">
    <w:name w:val="Heading 3"/>
    <w:basedOn w:val="840"/>
    <w:next w:val="840"/>
    <w:link w:val="6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9">
    <w:name w:val="Heading 3 Char"/>
    <w:link w:val="668"/>
    <w:uiPriority w:val="9"/>
    <w:rPr>
      <w:rFonts w:ascii="Arial" w:hAnsi="Arial" w:eastAsia="Arial" w:cs="Arial"/>
      <w:sz w:val="30"/>
      <w:szCs w:val="30"/>
    </w:rPr>
  </w:style>
  <w:style w:type="paragraph" w:styleId="670">
    <w:name w:val="Heading 4"/>
    <w:basedOn w:val="840"/>
    <w:next w:val="840"/>
    <w:link w:val="67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1">
    <w:name w:val="Heading 4 Char"/>
    <w:link w:val="670"/>
    <w:uiPriority w:val="9"/>
    <w:rPr>
      <w:rFonts w:ascii="Arial" w:hAnsi="Arial" w:eastAsia="Arial" w:cs="Arial"/>
      <w:b/>
      <w:bCs/>
      <w:sz w:val="26"/>
      <w:szCs w:val="26"/>
    </w:rPr>
  </w:style>
  <w:style w:type="paragraph" w:styleId="672">
    <w:name w:val="Heading 5"/>
    <w:basedOn w:val="840"/>
    <w:next w:val="840"/>
    <w:link w:val="67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3">
    <w:name w:val="Heading 5 Char"/>
    <w:link w:val="672"/>
    <w:uiPriority w:val="9"/>
    <w:rPr>
      <w:rFonts w:ascii="Arial" w:hAnsi="Arial" w:eastAsia="Arial" w:cs="Arial"/>
      <w:b/>
      <w:bCs/>
      <w:sz w:val="24"/>
      <w:szCs w:val="24"/>
    </w:rPr>
  </w:style>
  <w:style w:type="paragraph" w:styleId="674">
    <w:name w:val="Heading 6"/>
    <w:basedOn w:val="840"/>
    <w:next w:val="840"/>
    <w:link w:val="6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5">
    <w:name w:val="Heading 6 Char"/>
    <w:link w:val="674"/>
    <w:uiPriority w:val="9"/>
    <w:rPr>
      <w:rFonts w:ascii="Arial" w:hAnsi="Arial" w:eastAsia="Arial" w:cs="Arial"/>
      <w:b/>
      <w:bCs/>
      <w:sz w:val="22"/>
      <w:szCs w:val="22"/>
    </w:rPr>
  </w:style>
  <w:style w:type="paragraph" w:styleId="676">
    <w:name w:val="Heading 7"/>
    <w:basedOn w:val="840"/>
    <w:next w:val="840"/>
    <w:link w:val="67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7">
    <w:name w:val="Heading 7 Char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8">
    <w:name w:val="Heading 8"/>
    <w:basedOn w:val="840"/>
    <w:next w:val="840"/>
    <w:link w:val="67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9">
    <w:name w:val="Heading 8 Char"/>
    <w:link w:val="678"/>
    <w:uiPriority w:val="9"/>
    <w:rPr>
      <w:rFonts w:ascii="Arial" w:hAnsi="Arial" w:eastAsia="Arial" w:cs="Arial"/>
      <w:i/>
      <w:iCs/>
      <w:sz w:val="22"/>
      <w:szCs w:val="22"/>
    </w:rPr>
  </w:style>
  <w:style w:type="paragraph" w:styleId="680">
    <w:name w:val="Heading 9"/>
    <w:basedOn w:val="840"/>
    <w:next w:val="840"/>
    <w:link w:val="68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>
    <w:name w:val="Heading 9 Char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82">
    <w:name w:val="Title"/>
    <w:basedOn w:val="840"/>
    <w:next w:val="840"/>
    <w:link w:val="68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3">
    <w:name w:val="Title Char"/>
    <w:link w:val="682"/>
    <w:uiPriority w:val="10"/>
    <w:rPr>
      <w:sz w:val="48"/>
      <w:szCs w:val="48"/>
    </w:rPr>
  </w:style>
  <w:style w:type="paragraph" w:styleId="684">
    <w:name w:val="Subtitle"/>
    <w:basedOn w:val="840"/>
    <w:next w:val="840"/>
    <w:link w:val="685"/>
    <w:uiPriority w:val="11"/>
    <w:qFormat/>
    <w:pPr>
      <w:spacing w:before="200" w:after="200"/>
    </w:pPr>
    <w:rPr>
      <w:sz w:val="24"/>
      <w:szCs w:val="24"/>
    </w:rPr>
  </w:style>
  <w:style w:type="character" w:styleId="685">
    <w:name w:val="Subtitle Char"/>
    <w:link w:val="684"/>
    <w:uiPriority w:val="11"/>
    <w:rPr>
      <w:sz w:val="24"/>
      <w:szCs w:val="24"/>
    </w:rPr>
  </w:style>
  <w:style w:type="paragraph" w:styleId="686">
    <w:name w:val="Quote"/>
    <w:basedOn w:val="840"/>
    <w:next w:val="840"/>
    <w:link w:val="687"/>
    <w:uiPriority w:val="29"/>
    <w:qFormat/>
    <w:pPr>
      <w:ind w:left="720" w:right="720"/>
    </w:pPr>
    <w:rPr>
      <w:i/>
    </w:rPr>
  </w:style>
  <w:style w:type="character" w:styleId="687">
    <w:name w:val="Quote Char"/>
    <w:link w:val="686"/>
    <w:uiPriority w:val="29"/>
    <w:rPr>
      <w:i/>
    </w:rPr>
  </w:style>
  <w:style w:type="paragraph" w:styleId="688">
    <w:name w:val="Intense Quote"/>
    <w:basedOn w:val="840"/>
    <w:next w:val="840"/>
    <w:link w:val="68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9">
    <w:name w:val="Intense Quote Char"/>
    <w:link w:val="688"/>
    <w:uiPriority w:val="30"/>
    <w:rPr>
      <w:i/>
    </w:rPr>
  </w:style>
  <w:style w:type="paragraph" w:styleId="690">
    <w:name w:val="Header"/>
    <w:basedOn w:val="840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1">
    <w:name w:val="Header Char"/>
    <w:link w:val="690"/>
    <w:uiPriority w:val="99"/>
  </w:style>
  <w:style w:type="paragraph" w:styleId="692">
    <w:name w:val="Footer"/>
    <w:basedOn w:val="840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>
    <w:name w:val="Footer Char"/>
    <w:link w:val="692"/>
    <w:uiPriority w:val="99"/>
  </w:style>
  <w:style w:type="paragraph" w:styleId="694">
    <w:name w:val="Caption"/>
    <w:basedOn w:val="840"/>
    <w:next w:val="84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5">
    <w:name w:val="Caption Char"/>
    <w:basedOn w:val="694"/>
    <w:link w:val="692"/>
    <w:uiPriority w:val="99"/>
  </w:style>
  <w:style w:type="table" w:styleId="696">
    <w:name w:val="Table Grid"/>
    <w:basedOn w:val="84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7">
    <w:name w:val="Table Grid Light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Plain Table 1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2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>
    <w:name w:val="Plain Table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Plain Table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3">
    <w:name w:val="Grid Table 1 Light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4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>
    <w:name w:val="Grid Table 4 - Accent 1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6">
    <w:name w:val="Grid Table 4 - Accent 2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7">
    <w:name w:val="Grid Table 4 - Accent 3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8">
    <w:name w:val="Grid Table 4 - Accent 4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9">
    <w:name w:val="Grid Table 4 - Accent 5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0">
    <w:name w:val="Grid Table 4 - Accent 6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1">
    <w:name w:val="Grid Table 5 Dark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2">
    <w:name w:val="Grid Table 5 Dark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8">
    <w:name w:val="Grid Table 6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9">
    <w:name w:val="Grid Table 6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0">
    <w:name w:val="Grid Table 6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1">
    <w:name w:val="Grid Table 6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2">
    <w:name w:val="Grid Table 6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3">
    <w:name w:val="Grid Table 6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6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7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0">
    <w:name w:val="List Table 2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1">
    <w:name w:val="List Table 2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2">
    <w:name w:val="List Table 2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3">
    <w:name w:val="List Table 2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4">
    <w:name w:val="List Table 2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5">
    <w:name w:val="List Table 2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6">
    <w:name w:val="List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5 Dark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6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8">
    <w:name w:val="List Table 6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9">
    <w:name w:val="List Table 6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List Table 6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1">
    <w:name w:val="List Table 6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List Table 6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3">
    <w:name w:val="List Table 6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4">
    <w:name w:val="List Table 7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5">
    <w:name w:val="List Table 7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6">
    <w:name w:val="List Table 7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7">
    <w:name w:val="List Table 7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8">
    <w:name w:val="List Table 7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9">
    <w:name w:val="List Table 7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0">
    <w:name w:val="List Table 7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1">
    <w:name w:val="Lined - Accent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Lined - Accent 1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3">
    <w:name w:val="Lined - Accent 2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4">
    <w:name w:val="Lined - Accent 3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5">
    <w:name w:val="Lined - Accent 4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6">
    <w:name w:val="Lined - Accent 5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7">
    <w:name w:val="Lined - Accent 6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8">
    <w:name w:val="Bordered &amp; Lined - Accent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Bordered &amp; Lined - Accent 1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0">
    <w:name w:val="Bordered &amp; Lined - Accent 2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1">
    <w:name w:val="Bordered &amp; Lined - Accent 3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2">
    <w:name w:val="Bordered &amp; Lined - Accent 4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3">
    <w:name w:val="Bordered &amp; Lined - Accent 5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4">
    <w:name w:val="Bordered &amp; Lined - Accent 6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5">
    <w:name w:val="Bordered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6">
    <w:name w:val="Bordered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7">
    <w:name w:val="Bordered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8">
    <w:name w:val="Bordered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9">
    <w:name w:val="Bordered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0">
    <w:name w:val="Bordered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1">
    <w:name w:val="Bordered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2">
    <w:name w:val="Hyperlink"/>
    <w:uiPriority w:val="99"/>
    <w:unhideWhenUsed/>
    <w:rPr>
      <w:color w:val="0000ff" w:themeColor="hyperlink"/>
      <w:u w:val="single"/>
    </w:rPr>
  </w:style>
  <w:style w:type="paragraph" w:styleId="823">
    <w:name w:val="footnote text"/>
    <w:basedOn w:val="840"/>
    <w:link w:val="824"/>
    <w:uiPriority w:val="99"/>
    <w:semiHidden/>
    <w:unhideWhenUsed/>
    <w:pPr>
      <w:spacing w:after="40" w:line="240" w:lineRule="auto"/>
    </w:pPr>
    <w:rPr>
      <w:sz w:val="18"/>
    </w:rPr>
  </w:style>
  <w:style w:type="character" w:styleId="824">
    <w:name w:val="Footnote Text Char"/>
    <w:link w:val="823"/>
    <w:uiPriority w:val="99"/>
    <w:rPr>
      <w:sz w:val="18"/>
    </w:rPr>
  </w:style>
  <w:style w:type="character" w:styleId="825">
    <w:name w:val="footnote reference"/>
    <w:uiPriority w:val="99"/>
    <w:unhideWhenUsed/>
    <w:rPr>
      <w:vertAlign w:val="superscript"/>
    </w:rPr>
  </w:style>
  <w:style w:type="paragraph" w:styleId="826">
    <w:name w:val="endnote text"/>
    <w:basedOn w:val="840"/>
    <w:link w:val="827"/>
    <w:uiPriority w:val="99"/>
    <w:semiHidden/>
    <w:unhideWhenUsed/>
    <w:pPr>
      <w:spacing w:after="0" w:line="240" w:lineRule="auto"/>
    </w:pPr>
    <w:rPr>
      <w:sz w:val="20"/>
    </w:rPr>
  </w:style>
  <w:style w:type="character" w:styleId="827">
    <w:name w:val="Endnote Text Char"/>
    <w:link w:val="826"/>
    <w:uiPriority w:val="99"/>
    <w:rPr>
      <w:sz w:val="20"/>
    </w:rPr>
  </w:style>
  <w:style w:type="character" w:styleId="828">
    <w:name w:val="endnote reference"/>
    <w:uiPriority w:val="99"/>
    <w:semiHidden/>
    <w:unhideWhenUsed/>
    <w:rPr>
      <w:vertAlign w:val="superscript"/>
    </w:rPr>
  </w:style>
  <w:style w:type="paragraph" w:styleId="829">
    <w:name w:val="toc 1"/>
    <w:basedOn w:val="840"/>
    <w:next w:val="840"/>
    <w:uiPriority w:val="39"/>
    <w:unhideWhenUsed/>
    <w:pPr>
      <w:ind w:left="0" w:right="0" w:firstLine="0"/>
      <w:spacing w:after="57"/>
    </w:pPr>
  </w:style>
  <w:style w:type="paragraph" w:styleId="830">
    <w:name w:val="toc 2"/>
    <w:basedOn w:val="840"/>
    <w:next w:val="840"/>
    <w:uiPriority w:val="39"/>
    <w:unhideWhenUsed/>
    <w:pPr>
      <w:ind w:left="283" w:right="0" w:firstLine="0"/>
      <w:spacing w:after="57"/>
    </w:pPr>
  </w:style>
  <w:style w:type="paragraph" w:styleId="831">
    <w:name w:val="toc 3"/>
    <w:basedOn w:val="840"/>
    <w:next w:val="840"/>
    <w:uiPriority w:val="39"/>
    <w:unhideWhenUsed/>
    <w:pPr>
      <w:ind w:left="567" w:right="0" w:firstLine="0"/>
      <w:spacing w:after="57"/>
    </w:pPr>
  </w:style>
  <w:style w:type="paragraph" w:styleId="832">
    <w:name w:val="toc 4"/>
    <w:basedOn w:val="840"/>
    <w:next w:val="840"/>
    <w:uiPriority w:val="39"/>
    <w:unhideWhenUsed/>
    <w:pPr>
      <w:ind w:left="850" w:right="0" w:firstLine="0"/>
      <w:spacing w:after="57"/>
    </w:pPr>
  </w:style>
  <w:style w:type="paragraph" w:styleId="833">
    <w:name w:val="toc 5"/>
    <w:basedOn w:val="840"/>
    <w:next w:val="840"/>
    <w:uiPriority w:val="39"/>
    <w:unhideWhenUsed/>
    <w:pPr>
      <w:ind w:left="1134" w:right="0" w:firstLine="0"/>
      <w:spacing w:after="57"/>
    </w:pPr>
  </w:style>
  <w:style w:type="paragraph" w:styleId="834">
    <w:name w:val="toc 6"/>
    <w:basedOn w:val="840"/>
    <w:next w:val="840"/>
    <w:uiPriority w:val="39"/>
    <w:unhideWhenUsed/>
    <w:pPr>
      <w:ind w:left="1417" w:right="0" w:firstLine="0"/>
      <w:spacing w:after="57"/>
    </w:pPr>
  </w:style>
  <w:style w:type="paragraph" w:styleId="835">
    <w:name w:val="toc 7"/>
    <w:basedOn w:val="840"/>
    <w:next w:val="840"/>
    <w:uiPriority w:val="39"/>
    <w:unhideWhenUsed/>
    <w:pPr>
      <w:ind w:left="1701" w:right="0" w:firstLine="0"/>
      <w:spacing w:after="57"/>
    </w:pPr>
  </w:style>
  <w:style w:type="paragraph" w:styleId="836">
    <w:name w:val="toc 8"/>
    <w:basedOn w:val="840"/>
    <w:next w:val="840"/>
    <w:uiPriority w:val="39"/>
    <w:unhideWhenUsed/>
    <w:pPr>
      <w:ind w:left="1984" w:right="0" w:firstLine="0"/>
      <w:spacing w:after="57"/>
    </w:pPr>
  </w:style>
  <w:style w:type="paragraph" w:styleId="837">
    <w:name w:val="toc 9"/>
    <w:basedOn w:val="840"/>
    <w:next w:val="840"/>
    <w:uiPriority w:val="39"/>
    <w:unhideWhenUsed/>
    <w:pPr>
      <w:ind w:left="2268" w:right="0" w:firstLine="0"/>
      <w:spacing w:after="57"/>
    </w:pPr>
  </w:style>
  <w:style w:type="paragraph" w:styleId="838">
    <w:name w:val="TOC Heading"/>
    <w:uiPriority w:val="39"/>
    <w:unhideWhenUsed/>
  </w:style>
  <w:style w:type="paragraph" w:styleId="839">
    <w:name w:val="table of figures"/>
    <w:basedOn w:val="840"/>
    <w:next w:val="840"/>
    <w:uiPriority w:val="99"/>
    <w:unhideWhenUsed/>
    <w:pPr>
      <w:spacing w:after="0" w:afterAutospacing="0"/>
    </w:pPr>
  </w:style>
  <w:style w:type="paragraph" w:styleId="840" w:default="1">
    <w:name w:val="Normal"/>
    <w:qFormat/>
  </w:style>
  <w:style w:type="table" w:styleId="84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2" w:default="1">
    <w:name w:val="No List"/>
    <w:uiPriority w:val="99"/>
    <w:semiHidden/>
    <w:unhideWhenUsed/>
  </w:style>
  <w:style w:type="paragraph" w:styleId="843">
    <w:name w:val="No Spacing"/>
    <w:basedOn w:val="840"/>
    <w:uiPriority w:val="1"/>
    <w:qFormat/>
    <w:pPr>
      <w:spacing w:after="0" w:line="240" w:lineRule="auto"/>
    </w:pPr>
  </w:style>
  <w:style w:type="paragraph" w:styleId="844">
    <w:name w:val="List Paragraph"/>
    <w:basedOn w:val="840"/>
    <w:uiPriority w:val="34"/>
    <w:qFormat/>
    <w:pPr>
      <w:contextualSpacing/>
      <w:ind w:left="720"/>
    </w:pPr>
  </w:style>
  <w:style w:type="character" w:styleId="84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://publication.pravo.gov.ru/document/0001202506020049?ysclid=mdswxepsjy510352874" TargetMode="External"/><Relationship Id="rId11" Type="http://schemas.openxmlformats.org/officeDocument/2006/relationships/hyperlink" Target="https://rosreestr.gov.ru/open-service/obzor-zakonov-o-nedvizhimosti/priznaki-neispolzovaniya-zemelnykh-uchastkov-chto-sleduet-uchityvat/" TargetMode="External"/><Relationship Id="rId12" Type="http://schemas.openxmlformats.org/officeDocument/2006/relationships/hyperlink" Target="https://rosreestr.gov.ru/upload/Doc/press/%D0%9F%D1%80%D0%B8%D0%B7%D0%BD%D0%B0%D0%BA%D0%B8_%D0%BD%D0%B5%D0%B8%D1%81%D0%BF%D0%BE%D0%BB%D1%8C%D0%B7%D0%BE%D0%B2%D0%B0%D0%BD%D0%B8%D1%8F_%D0%B7%D0%B5%D0%BC%D0%B5%D0%BB%D1%8C%D0%BD%D1%8B%D1%85_%D1%83%D1%87%D0%B0%D1%81%D1%82%D0%BA%D0%BE%D0%B2.pdf" TargetMode="External"/><Relationship Id="rId13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8</cp:revision>
  <dcterms:modified xsi:type="dcterms:W3CDTF">2025-09-10T11:16:58Z</dcterms:modified>
</cp:coreProperties>
</file>