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  <w:rPr>
          <w:rFonts w:ascii="Arial" w:hAnsi="Arial" w:cs="Arial"/>
          <w:color w:val="000000"/>
          <w:sz w:val="20"/>
          <w:szCs w:val="20"/>
          <w:highlight w:val="none"/>
        </w:rPr>
      </w:pPr>
      <w:r>
        <w:rPr>
          <w:rFonts w:ascii="Arial" w:hAnsi="Arial" w:cs="Arial"/>
          <w:color w:val="000000"/>
          <w:sz w:val="20"/>
          <w:szCs w:val="20"/>
          <w:highlight w:val="none"/>
        </w:rPr>
      </w:r>
      <w:r>
        <w:rPr>
          <w:rFonts w:ascii="Arial" w:hAnsi="Arial" w:cs="Arial"/>
          <w:color w:val="000000"/>
          <w:sz w:val="20"/>
          <w:szCs w:val="20"/>
          <w:highlight w:val="none"/>
        </w:rPr>
      </w:r>
    </w:p>
    <w:p>
      <w:pPr>
        <w:jc w:val="center"/>
        <w:spacing w:after="0" w:line="240" w:lineRule="auto"/>
        <w:rPr>
          <w:rFonts w:ascii="Arial" w:hAnsi="Arial" w:cs="Arial"/>
          <w:color w:val="000000"/>
          <w:sz w:val="20"/>
          <w:szCs w:val="20"/>
          <w:highlight w:val="none"/>
        </w:rPr>
      </w:pPr>
      <w:r>
        <w:rPr>
          <w:rFonts w:ascii="Arial" w:hAnsi="Arial" w:cs="Arial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569883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969994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4" cy="55698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438.57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  <w:highlight w:val="none"/>
        </w:rPr>
      </w:r>
      <w:r>
        <w:rPr>
          <w:rFonts w:ascii="Arial" w:hAnsi="Arial" w:cs="Arial"/>
          <w:color w:val="000000"/>
          <w:sz w:val="20"/>
          <w:szCs w:val="20"/>
          <w:highlight w:val="none"/>
        </w:rPr>
      </w:r>
    </w:p>
    <w:p>
      <w:pPr>
        <w:jc w:val="center"/>
        <w:spacing w:after="0" w:line="240" w:lineRule="auto"/>
        <w:rPr>
          <w:rFonts w:ascii="Arial" w:hAnsi="Arial" w:cs="Arial"/>
          <w:color w:val="000000"/>
          <w:sz w:val="20"/>
          <w:szCs w:val="20"/>
          <w:highlight w:val="none"/>
        </w:rPr>
      </w:pPr>
      <w:r>
        <w:rPr>
          <w:rFonts w:ascii="Arial" w:hAnsi="Arial" w:cs="Arial"/>
          <w:color w:val="000000"/>
          <w:sz w:val="20"/>
          <w:szCs w:val="20"/>
          <w:highlight w:val="none"/>
        </w:rPr>
      </w:r>
      <w:r>
        <w:rPr>
          <w:rFonts w:ascii="Arial" w:hAnsi="Arial" w:cs="Arial"/>
          <w:color w:val="000000"/>
          <w:sz w:val="20"/>
          <w:szCs w:val="20"/>
          <w:highlight w:val="none"/>
        </w:rPr>
      </w:r>
    </w:p>
    <w:p>
      <w:pPr>
        <w:jc w:val="center"/>
        <w:spacing w:after="0" w:line="240" w:lineRule="auto"/>
        <w:rPr>
          <w:rFonts w:ascii="Arial" w:hAnsi="Arial" w:cs="Arial"/>
          <w:color w:val="000000"/>
          <w:sz w:val="20"/>
          <w:szCs w:val="20"/>
          <w:highlight w:val="non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Зарегистрированные права на землю и жилой дом – необходимые условия для социальной догазификации</w:t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  <w:r>
        <w:rPr>
          <w:rFonts w:ascii="Arial" w:hAnsi="Arial" w:cs="Arial"/>
          <w:color w:val="000000"/>
          <w:sz w:val="20"/>
          <w:szCs w:val="20"/>
          <w:highlight w:val="none"/>
          <w:shd w:val="clear" w:color="auto" w:fill="ffffff"/>
        </w:rPr>
      </w:r>
    </w:p>
    <w:p>
      <w:pPr>
        <w:jc w:val="both"/>
        <w:spacing w:after="0" w:afterAutospacing="0" w:line="240" w:lineRule="auto"/>
        <w:rPr>
          <w:rFonts w:ascii="PT Astra Serif" w:hAnsi="PT Astra Serif" w:cs="PT Astra Serif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PT Astra Serif" w:hAnsi="PT Astra Serif" w:eastAsia="PT Astra Serif" w:cs="PT Astra Serif"/>
          <w:color w:val="000000"/>
          <w:sz w:val="28"/>
          <w:szCs w:val="28"/>
          <w:shd w:val="clear" w:color="auto" w:fill="ffffff"/>
        </w:rPr>
        <w:t xml:space="preserve">В 2021 году по поручению Президента РФ Правительством</w:t>
      </w:r>
      <w:r>
        <w:rPr>
          <w:rFonts w:ascii="PT Astra Serif" w:hAnsi="PT Astra Serif" w:eastAsia="PT Astra Serif" w:cs="PT Astra Serif"/>
          <w:color w:val="000000"/>
          <w:sz w:val="28"/>
          <w:szCs w:val="28"/>
          <w:shd w:val="clear" w:color="auto" w:fill="ffffff"/>
        </w:rPr>
        <w:t xml:space="preserve"> была запущена программа социальной газификации, благодаря которой у граждан появилась возможность бесплатно провести газ до границ своих участков и газифицировать жилые дома. Весной 2024 года председатель Правительства РФ Михаил </w:t>
      </w:r>
      <w:r>
        <w:rPr>
          <w:rFonts w:ascii="PT Astra Serif" w:hAnsi="PT Astra Serif" w:eastAsia="PT Astra Serif" w:cs="PT Astra Serif"/>
          <w:color w:val="000000"/>
          <w:sz w:val="28"/>
          <w:szCs w:val="28"/>
          <w:shd w:val="clear" w:color="auto" w:fill="ffffff"/>
        </w:rPr>
        <w:t xml:space="preserve">Мишустин</w:t>
      </w:r>
      <w:r>
        <w:rPr>
          <w:rFonts w:ascii="PT Astra Serif" w:hAnsi="PT Astra Serif" w:eastAsia="PT Astra Serif" w:cs="PT Astra Serif"/>
          <w:color w:val="000000"/>
          <w:sz w:val="28"/>
          <w:szCs w:val="28"/>
          <w:shd w:val="clear" w:color="auto" w:fill="ffffff"/>
        </w:rPr>
        <w:t xml:space="preserve"> подписал Постановление о расширении программы социальной газификации на садоводческие товарищества.</w:t>
      </w:r>
      <w:r>
        <w:rPr>
          <w:rFonts w:ascii="PT Astra Serif" w:hAnsi="PT Astra Serif" w:cs="PT Astra Serif"/>
          <w:color w:val="000000"/>
          <w:sz w:val="28"/>
          <w:szCs w:val="28"/>
          <w:shd w:val="clear" w:color="auto" w:fill="ffffff"/>
        </w:rPr>
      </w:r>
      <w:r>
        <w:rPr>
          <w:rFonts w:ascii="PT Astra Serif" w:hAnsi="PT Astra Serif" w:cs="PT Astra Serif"/>
          <w:color w:val="000000"/>
          <w:sz w:val="28"/>
          <w:szCs w:val="28"/>
          <w:shd w:val="clear" w:color="auto" w:fill="ffffff"/>
        </w:rPr>
      </w:r>
    </w:p>
    <w:p>
      <w:pPr>
        <w:ind w:firstLine="708"/>
        <w:jc w:val="both"/>
        <w:spacing w:after="0" w:afterAutospacing="0" w:line="240" w:lineRule="auto"/>
        <w:rPr>
          <w:rFonts w:ascii="PT Astra Serif" w:hAnsi="PT Astra Serif" w:eastAsia="PT Astra Serif" w:cs="PT Astra Serif"/>
          <w:color w:val="000000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color w:val="000000"/>
          <w:sz w:val="28"/>
          <w:szCs w:val="28"/>
          <w:shd w:val="clear" w:color="auto" w:fill="ffffff"/>
        </w:rPr>
        <w:t xml:space="preserve">«</w:t>
      </w:r>
      <w:r>
        <w:rPr>
          <w:rFonts w:ascii="PT Astra Serif" w:hAnsi="PT Astra Serif" w:eastAsia="PT Astra Serif" w:cs="PT Astra Serif"/>
          <w:i/>
          <w:iCs/>
          <w:color w:val="000000"/>
          <w:sz w:val="28"/>
          <w:szCs w:val="28"/>
          <w:shd w:val="clear" w:color="auto" w:fill="ffffff"/>
        </w:rPr>
        <w:t xml:space="preserve">Следует отметить, что программой бесплатной</w:t>
      </w:r>
      <w:r>
        <w:rPr>
          <w:rFonts w:ascii="PT Astra Serif" w:hAnsi="PT Astra Serif" w:eastAsia="PT Astra Serif" w:cs="PT Astra Serif"/>
          <w:i/>
          <w:iCs/>
          <w:color w:val="000000"/>
          <w:sz w:val="28"/>
          <w:szCs w:val="28"/>
          <w:shd w:val="clear" w:color="auto" w:fill="ffffff"/>
        </w:rPr>
        <w:t xml:space="preserve"> догазифицикации могут воспользоваться только вологжане, чьи земельные участки и дома стоят на кадастровом учете и права на них внесены в Единый государственный реестре недвижимости (ЕГРН). </w:t>
      </w:r>
      <w:r>
        <w:rPr>
          <w:rFonts w:ascii="PT Astra Serif" w:hAnsi="PT Astra Serif" w:eastAsia="PT Astra Serif" w:cs="PT Astra Serif"/>
          <w:i/>
          <w:iCs/>
          <w:color w:val="000000"/>
          <w:sz w:val="28"/>
          <w:szCs w:val="28"/>
          <w:shd w:val="clear" w:color="auto" w:fill="ffffff"/>
        </w:rPr>
        <w:t xml:space="preserve">Пра</w:t>
      </w:r>
      <w:r>
        <w:rPr>
          <w:rFonts w:ascii="PT Astra Serif" w:hAnsi="PT Astra Serif" w:eastAsia="PT Astra Serif" w:cs="PT Astra Serif"/>
          <w:i/>
          <w:iCs/>
          <w:color w:val="000000"/>
          <w:sz w:val="28"/>
          <w:szCs w:val="28"/>
          <w:shd w:val="clear" w:color="auto" w:fill="ffffff"/>
        </w:rPr>
        <w:t xml:space="preserve">воустанавливающие документы необходимы для технического подключения к сетям. Получить сведения о зарегистрированных правах на объекты недвижимости можно путем заказа выписки из ЕГРН, которую можно получить посредством обращения в офисы МФЦ, через Госуслуги</w:t>
      </w:r>
      <w:r>
        <w:rPr>
          <w:rFonts w:ascii="PT Astra Serif" w:hAnsi="PT Astra Serif" w:eastAsia="PT Astra Serif" w:cs="PT Astra Serif"/>
          <w:color w:val="000000"/>
          <w:sz w:val="28"/>
          <w:szCs w:val="28"/>
          <w:shd w:val="clear" w:color="auto" w:fill="ffffff"/>
        </w:rPr>
        <w:t xml:space="preserve">», – обращает внимание руководитель Управления Росреестра по Вологодской области </w:t>
      </w:r>
      <w:r>
        <w:rPr>
          <w:rFonts w:ascii="PT Astra Serif" w:hAnsi="PT Astra Serif" w:eastAsia="PT Astra Serif" w:cs="PT Astra Serif"/>
          <w:b/>
          <w:bCs/>
          <w:color w:val="000000"/>
          <w:sz w:val="28"/>
          <w:szCs w:val="28"/>
          <w:shd w:val="clear" w:color="auto" w:fill="ffffff"/>
        </w:rPr>
        <w:t xml:space="preserve">Дмитрий Тулин.</w:t>
      </w:r>
      <w:r>
        <w:rPr>
          <w:rFonts w:ascii="PT Astra Serif" w:hAnsi="PT Astra Serif" w:eastAsia="PT Astra Serif" w:cs="PT Astra Serif"/>
          <w:color w:val="000000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afterAutospacing="0" w:line="240" w:lineRule="auto"/>
        <w:rPr>
          <w:rFonts w:ascii="PT Astra Serif" w:hAnsi="PT Astra Serif" w:eastAsia="PT Astra Serif" w:cs="PT Astra Serif"/>
          <w:color w:val="000000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color w:val="000000"/>
          <w:sz w:val="28"/>
          <w:szCs w:val="28"/>
          <w:shd w:val="clear" w:color="auto" w:fill="ffffff"/>
        </w:rPr>
        <w:t xml:space="preserve">Для того чтобы воспользоваться программой социальной догазификации </w:t>
      </w:r>
      <w:r>
        <w:rPr>
          <w:rFonts w:ascii="PT Astra Serif" w:hAnsi="PT Astra Serif" w:eastAsia="PT Astra Serif" w:cs="PT Astra Serif"/>
          <w:color w:val="000000"/>
          <w:sz w:val="28"/>
          <w:szCs w:val="28"/>
          <w:shd w:val="clear" w:color="auto" w:fill="ffffff"/>
        </w:rPr>
        <w:t xml:space="preserve">СНТ должно находиться в границах населенного пункта, а </w:t>
      </w:r>
      <w:r>
        <w:rPr>
          <w:rFonts w:ascii="PT Astra Serif" w:hAnsi="PT Astra Serif" w:eastAsia="PT Astra Serif" w:cs="PT Astra Serif"/>
          <w:color w:val="000000"/>
          <w:sz w:val="28"/>
          <w:szCs w:val="28"/>
          <w:shd w:val="clear" w:color="auto" w:fill="ffffff"/>
        </w:rPr>
        <w:t xml:space="preserve">населённый пункт должен быть газифицирован, или программа газификации предусматривает строительство газовых сетей до границ СНТ в текущем году. </w:t>
      </w:r>
      <w:r>
        <w:rPr>
          <w:rFonts w:ascii="PT Astra Serif" w:hAnsi="PT Astra Serif" w:eastAsia="PT Astra Serif" w:cs="PT Astra Serif"/>
          <w:color w:val="000000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afterAutospacing="0" w:line="240" w:lineRule="auto"/>
        <w:rPr>
          <w:rStyle w:val="835"/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color w:val="000000"/>
          <w:sz w:val="28"/>
          <w:szCs w:val="28"/>
          <w:shd w:val="clear" w:color="auto" w:fill="ffffff"/>
        </w:rPr>
        <w:t xml:space="preserve">В 2024 году в Вологодской области утверждены планы-графики </w:t>
      </w:r>
      <w:r>
        <w:rPr>
          <w:rFonts w:ascii="PT Astra Serif" w:hAnsi="PT Astra Serif" w:eastAsia="PT Astra Serif" w:cs="PT Astra Serif"/>
          <w:color w:val="000000"/>
          <w:sz w:val="28"/>
          <w:szCs w:val="28"/>
          <w:shd w:val="clear" w:color="auto" w:fill="ffffff"/>
        </w:rPr>
        <w:t xml:space="preserve">догазификации</w:t>
      </w:r>
      <w:r>
        <w:rPr>
          <w:rFonts w:ascii="PT Astra Serif" w:hAnsi="PT Astra Serif" w:eastAsia="PT Astra Serif" w:cs="PT Astra Serif"/>
          <w:color w:val="000000"/>
          <w:sz w:val="28"/>
          <w:szCs w:val="28"/>
          <w:shd w:val="clear" w:color="auto" w:fill="ffffff"/>
        </w:rPr>
        <w:t xml:space="preserve"> СНТ Вологодской области.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список вошли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158 СНТ Вологодской области, расположенны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территориях города Вологды и Череповца, Вологодского, Череповецкого, Сокольского и Великоустюгского муниципальных округов.</w:t>
      </w:r>
      <w:r>
        <w:rPr>
          <w:rFonts w:ascii="PT Astra Serif" w:hAnsi="PT Astra Serif" w:eastAsia="PT Astra Serif" w:cs="PT Astra Serif"/>
          <w:color w:val="000000"/>
          <w:sz w:val="28"/>
          <w:szCs w:val="28"/>
          <w:shd w:val="clear" w:color="auto" w:fill="ffffff"/>
        </w:rPr>
        <w:t xml:space="preserve"> Ознакомиться с планами-графиками догазификации СНТ области можно по ссылке: </w:t>
      </w:r>
      <w:r>
        <w:rPr>
          <w:rFonts w:ascii="PT Astra Serif" w:hAnsi="PT Astra Serif" w:eastAsia="PT Astra Serif" w:cs="PT Astra Serif"/>
          <w:color w:val="000000"/>
          <w:sz w:val="28"/>
          <w:szCs w:val="28"/>
          <w:shd w:val="clear" w:color="auto" w:fill="ffffff"/>
        </w:rPr>
      </w:r>
      <w:hyperlink r:id="rId9" w:tooltip="https://vk.com/public_rosreestr35?w=wall-196614105_2992" w:history="1">
        <w:r>
          <w:rPr>
            <w:rStyle w:val="835"/>
            <w:rFonts w:ascii="PT Astra Serif" w:hAnsi="PT Astra Serif" w:eastAsia="PT Astra Serif" w:cs="PT Astra Serif"/>
            <w:sz w:val="28"/>
            <w:szCs w:val="28"/>
            <w:shd w:val="clear" w:color="auto" w:fill="ffffff"/>
          </w:rPr>
          <w:t xml:space="preserve">https://vk.com/public_rosreestr35?w=wall-196614105_2992</w:t>
        </w:r>
        <w:r>
          <w:rPr>
            <w:rStyle w:val="835"/>
            <w:rFonts w:ascii="PT Astra Serif" w:hAnsi="PT Astra Serif" w:eastAsia="PT Astra Serif" w:cs="PT Astra Serif"/>
            <w:sz w:val="28"/>
            <w:szCs w:val="28"/>
            <w:shd w:val="clear" w:color="auto" w:fill="ffffff"/>
          </w:rPr>
        </w:r>
        <w:r>
          <w:rPr>
            <w:rStyle w:val="835"/>
            <w:rFonts w:ascii="PT Astra Serif" w:hAnsi="PT Astra Serif" w:eastAsia="PT Astra Serif" w:cs="PT Astra Serif"/>
            <w:sz w:val="28"/>
            <w:szCs w:val="28"/>
            <w:highlight w:val="none"/>
            <w14:ligatures w14:val="none"/>
          </w:rPr>
          <w:t xml:space="preserve">.</w:t>
        </w:r>
      </w:hyperlink>
      <w:r>
        <w:rPr>
          <w:rFonts w:ascii="PT Astra Serif" w:hAnsi="PT Astra Serif" w:eastAsia="PT Astra Serif" w:cs="PT Astra Serif"/>
          <w:color w:val="000000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 w:line="240" w:lineRule="auto"/>
        <w:rPr>
          <w:rFonts w:ascii="PT Astra Serif" w:hAnsi="PT Astra Serif" w:eastAsia="PT Astra Serif" w:cs="PT Astra Serif"/>
          <w:color w:val="000000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color w:val="000000"/>
          <w:sz w:val="28"/>
          <w:szCs w:val="28"/>
          <w:shd w:val="clear" w:color="auto" w:fill="ffffff"/>
        </w:rPr>
      </w:r>
      <w:r>
        <w:rPr>
          <w:rFonts w:ascii="PT Astra Serif" w:hAnsi="PT Astra Serif" w:eastAsia="PT Astra Serif" w:cs="PT Astra Serif"/>
          <w:color w:val="000000"/>
          <w:sz w:val="28"/>
          <w:szCs w:val="28"/>
          <w:shd w:val="clear" w:color="auto" w:fill="ffffff"/>
        </w:rPr>
        <w:t xml:space="preserve">На садовые дома и иные хозпостройки бесплатная догазификация не распространяется</w:t>
      </w:r>
      <w:r>
        <w:rPr>
          <w:rFonts w:ascii="PT Astra Serif" w:hAnsi="PT Astra Serif" w:eastAsia="PT Astra Serif" w:cs="PT Astra Serif"/>
          <w:color w:val="000000"/>
          <w:sz w:val="28"/>
          <w:szCs w:val="28"/>
          <w:shd w:val="clear" w:color="auto" w:fill="ffffff"/>
        </w:rPr>
        <w:t xml:space="preserve">, поэтому в случае, е</w:t>
      </w:r>
      <w:r>
        <w:rPr>
          <w:rFonts w:ascii="PT Astra Serif" w:hAnsi="PT Astra Serif" w:eastAsia="PT Astra Serif" w:cs="PT Astra Serif"/>
          <w:color w:val="000000"/>
          <w:sz w:val="28"/>
          <w:szCs w:val="28"/>
          <w:shd w:val="clear" w:color="auto" w:fill="ffffff"/>
        </w:rPr>
        <w:t xml:space="preserve">сли на участке находится садовый дом, то его следует перевести в жилой в соответствии с постановлением Правительства РФ от 28.01.2006 № 47.</w:t>
      </w:r>
      <w:r>
        <w:rPr>
          <w:rFonts w:ascii="PT Astra Serif" w:hAnsi="PT Astra Serif" w:eastAsia="PT Astra Serif" w:cs="PT Astra Serif"/>
          <w:color w:val="000000"/>
          <w:sz w:val="28"/>
          <w:szCs w:val="28"/>
          <w:shd w:val="clear" w:color="auto" w:fill="ffffff"/>
        </w:rPr>
        <w:t xml:space="preserve"> Для этого необходимо обратиться в МФЦ с соответствующим заявлением с приложением выписки из ЕГРН на дом и заключения по обследованию технического состояния объекта, подготовленного специалистом в области инженерных изысканий. </w:t>
      </w:r>
      <w:r>
        <w:rPr>
          <w:rFonts w:ascii="PT Astra Serif" w:hAnsi="PT Astra Serif" w:eastAsia="PT Astra Serif" w:cs="PT Astra Serif"/>
          <w:color w:val="000000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color w:val="000000"/>
          <w:sz w:val="28"/>
          <w:szCs w:val="28"/>
          <w14:ligatures w14:val="none"/>
        </w:rPr>
      </w:r>
    </w:p>
    <w:p>
      <w:pPr>
        <w:jc w:val="both"/>
        <w:spacing w:after="0" w:afterAutospacing="0" w:line="240" w:lineRule="auto"/>
        <w:rPr>
          <w:rFonts w:ascii="PT Astra Serif" w:hAnsi="PT Astra Serif" w:cs="PT Astra Serif"/>
          <w:color w:val="000000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color w:val="000000"/>
          <w:sz w:val="28"/>
          <w:szCs w:val="28"/>
          <w:shd w:val="clear" w:color="auto" w:fill="ffffff"/>
        </w:rPr>
        <w:tab/>
        <w:t xml:space="preserve">На сайте Росреестра размещены подробные </w:t>
      </w:r>
      <w:r>
        <w:rPr>
          <w:rFonts w:ascii="PT Astra Serif" w:hAnsi="PT Astra Serif" w:eastAsia="PT Astra Serif" w:cs="PT Astra Serif"/>
          <w:color w:val="000000"/>
          <w:sz w:val="28"/>
          <w:szCs w:val="28"/>
          <w:shd w:val="clear" w:color="auto" w:fill="ffffff"/>
        </w:rPr>
        <w:t xml:space="preserve">материалы, которые в простой и доступной форме помогут разобраться с процедурой участия программе социальной </w:t>
      </w:r>
      <w:r>
        <w:rPr>
          <w:rFonts w:ascii="PT Astra Serif" w:hAnsi="PT Astra Serif" w:eastAsia="PT Astra Serif" w:cs="PT Astra Serif"/>
          <w:color w:val="000000"/>
          <w:sz w:val="28"/>
          <w:szCs w:val="28"/>
          <w:shd w:val="clear" w:color="auto" w:fill="ffffff"/>
        </w:rPr>
        <w:t xml:space="preserve">догазификации</w:t>
      </w:r>
      <w:r>
        <w:rPr>
          <w:rFonts w:ascii="PT Astra Serif" w:hAnsi="PT Astra Serif" w:eastAsia="PT Astra Serif" w:cs="PT Astra Serif"/>
          <w:color w:val="000000"/>
          <w:sz w:val="28"/>
          <w:szCs w:val="28"/>
          <w:shd w:val="clear" w:color="auto" w:fill="ffffff"/>
        </w:rPr>
        <w:t xml:space="preserve">. Материалы доступны по ссылке: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10" w:tooltip="https://rosreestr.gov.ru/open-service/obzor-zakonov-o-nedvizhimosti/shagi-dlya-dogazifikatsii-zhilykh-domov-v-snt/" w:history="1">
        <w:r>
          <w:rPr>
            <w:rStyle w:val="835"/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https://rosreestr.gov.ru/open-service/obzor-zakonov-o-nedvizhimosti/shagi-dlya-dogazifikatsii-zhilykh-domov-v-snt/</w:t>
        </w:r>
      </w:hyperlink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spacing w:after="0" w:line="240" w:lineRule="auto"/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t xml:space="preserve">Контакты для СМИ:</w:t>
      </w:r>
      <w:r/>
      <w:r/>
    </w:p>
    <w:p>
      <w:pPr>
        <w:spacing w:after="0" w:line="240" w:lineRule="auto"/>
      </w:pPr>
      <w:r>
        <w:t xml:space="preserve">Пресс-служба Управления </w:t>
      </w:r>
      <w:r>
        <w:t xml:space="preserve">Росреестра</w:t>
      </w:r>
      <w:r>
        <w:t xml:space="preserve"> по Вологодской области</w:t>
      </w:r>
      <w:r/>
      <w:r/>
    </w:p>
    <w:p>
      <w:pPr>
        <w:spacing w:after="0" w:line="240" w:lineRule="auto"/>
      </w:pPr>
      <w:r>
        <w:t xml:space="preserve">(8172) 72 86 11, доб. 1045</w:t>
      </w:r>
      <w:r/>
      <w:r/>
    </w:p>
    <w:p>
      <w:pPr>
        <w:spacing w:after="0" w:line="240" w:lineRule="auto"/>
      </w:pPr>
      <w:r/>
      <w:hyperlink r:id="rId11" w:tooltip="mailto:press@r35.rosreestr.ru" w:history="1">
        <w:r>
          <w:rPr>
            <w:rStyle w:val="835"/>
            <w:lang w:val="en-US"/>
          </w:rPr>
          <w:t xml:space="preserve">press</w:t>
        </w:r>
        <w:r>
          <w:rPr>
            <w:rStyle w:val="835"/>
          </w:rPr>
          <w:t xml:space="preserve">@</w:t>
        </w:r>
        <w:r>
          <w:rPr>
            <w:rStyle w:val="835"/>
            <w:lang w:val="en-US"/>
          </w:rPr>
          <w:t xml:space="preserve">r</w:t>
        </w:r>
        <w:r>
          <w:rPr>
            <w:rStyle w:val="835"/>
          </w:rPr>
          <w:t xml:space="preserve">35.</w:t>
        </w:r>
        <w:r>
          <w:rPr>
            <w:rStyle w:val="835"/>
            <w:lang w:val="en-US"/>
          </w:rPr>
          <w:t xml:space="preserve">rosreestr</w:t>
        </w:r>
        <w:r>
          <w:rPr>
            <w:rStyle w:val="835"/>
          </w:rPr>
          <w:t xml:space="preserve">.</w:t>
        </w:r>
        <w:r>
          <w:rPr>
            <w:rStyle w:val="835"/>
            <w:lang w:val="en-US"/>
          </w:rPr>
          <w:t xml:space="preserve">ru</w:t>
        </w:r>
      </w:hyperlink>
      <w:r/>
      <w:r/>
    </w:p>
    <w:p>
      <w:pPr>
        <w:spacing w:after="0" w:line="240" w:lineRule="auto"/>
      </w:pPr>
      <w:r>
        <w:t xml:space="preserve">160001, г. Вологда, ул. Челюскинцев, д. 3</w:t>
      </w:r>
      <w:r/>
      <w:r/>
    </w:p>
    <w:p>
      <w:pPr>
        <w:jc w:val="both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sectPr>
      <w:footnotePr/>
      <w:endnotePr/>
      <w:type w:val="nextPage"/>
      <w:pgSz w:w="11906" w:h="16838" w:orient="portrait"/>
      <w:pgMar w:top="426" w:right="850" w:bottom="821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egoe UI">
    <w:panose1 w:val="020B0502040504020204"/>
  </w:font>
  <w:font w:name="PT Astra Serif">
    <w:panose1 w:val="020A0603040505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1"/>
    <w:next w:val="831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basedOn w:val="832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1"/>
    <w:next w:val="831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basedOn w:val="832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1"/>
    <w:next w:val="831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basedOn w:val="832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1"/>
    <w:next w:val="831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basedOn w:val="832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1"/>
    <w:next w:val="831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basedOn w:val="832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1"/>
    <w:next w:val="831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basedOn w:val="832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1"/>
    <w:next w:val="831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basedOn w:val="832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1"/>
    <w:next w:val="831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basedOn w:val="832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1"/>
    <w:next w:val="831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basedOn w:val="832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basedOn w:val="831"/>
    <w:uiPriority w:val="34"/>
    <w:qFormat/>
    <w:pPr>
      <w:contextualSpacing/>
      <w:ind w:left="720"/>
    </w:pPr>
  </w:style>
  <w:style w:type="paragraph" w:styleId="673">
    <w:name w:val="No Spacing"/>
    <w:uiPriority w:val="1"/>
    <w:qFormat/>
    <w:pPr>
      <w:spacing w:before="0" w:after="0" w:line="240" w:lineRule="auto"/>
    </w:pPr>
  </w:style>
  <w:style w:type="paragraph" w:styleId="674">
    <w:name w:val="Title"/>
    <w:basedOn w:val="831"/>
    <w:next w:val="831"/>
    <w:link w:val="67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5">
    <w:name w:val="Title Char"/>
    <w:basedOn w:val="832"/>
    <w:link w:val="674"/>
    <w:uiPriority w:val="10"/>
    <w:rPr>
      <w:sz w:val="48"/>
      <w:szCs w:val="48"/>
    </w:rPr>
  </w:style>
  <w:style w:type="paragraph" w:styleId="676">
    <w:name w:val="Subtitle"/>
    <w:basedOn w:val="831"/>
    <w:next w:val="831"/>
    <w:link w:val="677"/>
    <w:uiPriority w:val="11"/>
    <w:qFormat/>
    <w:pPr>
      <w:spacing w:before="200" w:after="200"/>
    </w:pPr>
    <w:rPr>
      <w:sz w:val="24"/>
      <w:szCs w:val="24"/>
    </w:rPr>
  </w:style>
  <w:style w:type="character" w:styleId="677">
    <w:name w:val="Subtitle Char"/>
    <w:basedOn w:val="832"/>
    <w:link w:val="676"/>
    <w:uiPriority w:val="11"/>
    <w:rPr>
      <w:sz w:val="24"/>
      <w:szCs w:val="24"/>
    </w:rPr>
  </w:style>
  <w:style w:type="paragraph" w:styleId="678">
    <w:name w:val="Quote"/>
    <w:basedOn w:val="831"/>
    <w:next w:val="831"/>
    <w:link w:val="679"/>
    <w:uiPriority w:val="29"/>
    <w:qFormat/>
    <w:pPr>
      <w:ind w:left="720" w:right="720"/>
    </w:pPr>
    <w:rPr>
      <w:i/>
    </w:rPr>
  </w:style>
  <w:style w:type="character" w:styleId="679">
    <w:name w:val="Quote Char"/>
    <w:link w:val="678"/>
    <w:uiPriority w:val="29"/>
    <w:rPr>
      <w:i/>
    </w:rPr>
  </w:style>
  <w:style w:type="paragraph" w:styleId="680">
    <w:name w:val="Intense Quote"/>
    <w:basedOn w:val="831"/>
    <w:next w:val="831"/>
    <w:link w:val="68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1">
    <w:name w:val="Intense Quote Char"/>
    <w:link w:val="680"/>
    <w:uiPriority w:val="30"/>
    <w:rPr>
      <w:i/>
    </w:rPr>
  </w:style>
  <w:style w:type="paragraph" w:styleId="682">
    <w:name w:val="Header"/>
    <w:basedOn w:val="831"/>
    <w:link w:val="6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Header Char"/>
    <w:basedOn w:val="832"/>
    <w:link w:val="682"/>
    <w:uiPriority w:val="99"/>
  </w:style>
  <w:style w:type="paragraph" w:styleId="684">
    <w:name w:val="Footer"/>
    <w:basedOn w:val="831"/>
    <w:link w:val="68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5">
    <w:name w:val="Footer Char"/>
    <w:basedOn w:val="832"/>
    <w:link w:val="684"/>
    <w:uiPriority w:val="99"/>
  </w:style>
  <w:style w:type="paragraph" w:styleId="686">
    <w:name w:val="Caption"/>
    <w:basedOn w:val="831"/>
    <w:next w:val="83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7">
    <w:name w:val="Caption Char"/>
    <w:basedOn w:val="686"/>
    <w:link w:val="684"/>
    <w:uiPriority w:val="99"/>
  </w:style>
  <w:style w:type="table" w:styleId="688">
    <w:name w:val="Table Grid"/>
    <w:basedOn w:val="83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9">
    <w:name w:val="Table Grid Light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Plain Table 1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2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3">
    <w:name w:val="Plain Table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Plain Table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5">
    <w:name w:val="Grid Table 1 Light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4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7">
    <w:name w:val="Grid Table 4 - Accent 1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8">
    <w:name w:val="Grid Table 4 - Accent 2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9">
    <w:name w:val="Grid Table 4 - Accent 3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0">
    <w:name w:val="Grid Table 4 - Accent 4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1">
    <w:name w:val="Grid Table 4 - Accent 5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2">
    <w:name w:val="Grid Table 4 - Accent 6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3">
    <w:name w:val="Grid Table 5 Dark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4">
    <w:name w:val="Grid Table 5 Dark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30">
    <w:name w:val="Grid Table 6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1">
    <w:name w:val="Grid Table 6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2">
    <w:name w:val="Grid Table 6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3">
    <w:name w:val="Grid Table 6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4">
    <w:name w:val="Grid Table 6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5">
    <w:name w:val="Grid Table 6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6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7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2">
    <w:name w:val="List Table 2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3">
    <w:name w:val="List Table 2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4">
    <w:name w:val="List Table 2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5">
    <w:name w:val="List Table 2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6">
    <w:name w:val="List Table 2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7">
    <w:name w:val="List Table 2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8">
    <w:name w:val="List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5 Dark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6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0">
    <w:name w:val="List Table 6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1">
    <w:name w:val="List Table 6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2">
    <w:name w:val="List Table 6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3">
    <w:name w:val="List Table 6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4">
    <w:name w:val="List Table 6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5">
    <w:name w:val="List Table 6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6">
    <w:name w:val="List Table 7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7">
    <w:name w:val="List Table 7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8">
    <w:name w:val="List Table 7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9">
    <w:name w:val="List Table 7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90">
    <w:name w:val="List Table 7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91">
    <w:name w:val="List Table 7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2">
    <w:name w:val="List Table 7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3">
    <w:name w:val="Lined - Accent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4">
    <w:name w:val="Lined - Accent 1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5">
    <w:name w:val="Lined - Accent 2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6">
    <w:name w:val="Lined - Accent 3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7">
    <w:name w:val="Lined - Accent 4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8">
    <w:name w:val="Lined - Accent 5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9">
    <w:name w:val="Lined - Accent 6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0">
    <w:name w:val="Bordered &amp; Lined - Accent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1">
    <w:name w:val="Bordered &amp; Lined - Accent 1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2">
    <w:name w:val="Bordered &amp; Lined - Accent 2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3">
    <w:name w:val="Bordered &amp; Lined - Accent 3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4">
    <w:name w:val="Bordered &amp; Lined - Accent 4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5">
    <w:name w:val="Bordered &amp; Lined - Accent 5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6">
    <w:name w:val="Bordered &amp; Lined - Accent 6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7">
    <w:name w:val="Bordered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8">
    <w:name w:val="Bordered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9">
    <w:name w:val="Bordered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0">
    <w:name w:val="Bordered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1">
    <w:name w:val="Bordered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2">
    <w:name w:val="Bordered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3">
    <w:name w:val="Bordered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14">
    <w:name w:val="footnote text"/>
    <w:basedOn w:val="831"/>
    <w:link w:val="815"/>
    <w:uiPriority w:val="99"/>
    <w:semiHidden/>
    <w:unhideWhenUsed/>
    <w:pPr>
      <w:spacing w:after="40" w:line="240" w:lineRule="auto"/>
    </w:pPr>
    <w:rPr>
      <w:sz w:val="18"/>
    </w:rPr>
  </w:style>
  <w:style w:type="character" w:styleId="815">
    <w:name w:val="Footnote Text Char"/>
    <w:link w:val="814"/>
    <w:uiPriority w:val="99"/>
    <w:rPr>
      <w:sz w:val="18"/>
    </w:rPr>
  </w:style>
  <w:style w:type="character" w:styleId="816">
    <w:name w:val="footnote reference"/>
    <w:basedOn w:val="832"/>
    <w:uiPriority w:val="99"/>
    <w:unhideWhenUsed/>
    <w:rPr>
      <w:vertAlign w:val="superscript"/>
    </w:rPr>
  </w:style>
  <w:style w:type="paragraph" w:styleId="817">
    <w:name w:val="endnote text"/>
    <w:basedOn w:val="831"/>
    <w:link w:val="818"/>
    <w:uiPriority w:val="99"/>
    <w:semiHidden/>
    <w:unhideWhenUsed/>
    <w:pPr>
      <w:spacing w:after="0" w:line="240" w:lineRule="auto"/>
    </w:pPr>
    <w:rPr>
      <w:sz w:val="20"/>
    </w:rPr>
  </w:style>
  <w:style w:type="character" w:styleId="818">
    <w:name w:val="Endnote Text Char"/>
    <w:link w:val="817"/>
    <w:uiPriority w:val="99"/>
    <w:rPr>
      <w:sz w:val="20"/>
    </w:rPr>
  </w:style>
  <w:style w:type="character" w:styleId="819">
    <w:name w:val="endnote reference"/>
    <w:basedOn w:val="832"/>
    <w:uiPriority w:val="99"/>
    <w:semiHidden/>
    <w:unhideWhenUsed/>
    <w:rPr>
      <w:vertAlign w:val="superscript"/>
    </w:rPr>
  </w:style>
  <w:style w:type="paragraph" w:styleId="820">
    <w:name w:val="toc 1"/>
    <w:basedOn w:val="831"/>
    <w:next w:val="831"/>
    <w:uiPriority w:val="39"/>
    <w:unhideWhenUsed/>
    <w:pPr>
      <w:ind w:left="0" w:right="0" w:firstLine="0"/>
      <w:spacing w:after="57"/>
    </w:pPr>
  </w:style>
  <w:style w:type="paragraph" w:styleId="821">
    <w:name w:val="toc 2"/>
    <w:basedOn w:val="831"/>
    <w:next w:val="831"/>
    <w:uiPriority w:val="39"/>
    <w:unhideWhenUsed/>
    <w:pPr>
      <w:ind w:left="283" w:right="0" w:firstLine="0"/>
      <w:spacing w:after="57"/>
    </w:pPr>
  </w:style>
  <w:style w:type="paragraph" w:styleId="822">
    <w:name w:val="toc 3"/>
    <w:basedOn w:val="831"/>
    <w:next w:val="831"/>
    <w:uiPriority w:val="39"/>
    <w:unhideWhenUsed/>
    <w:pPr>
      <w:ind w:left="567" w:right="0" w:firstLine="0"/>
      <w:spacing w:after="57"/>
    </w:pPr>
  </w:style>
  <w:style w:type="paragraph" w:styleId="823">
    <w:name w:val="toc 4"/>
    <w:basedOn w:val="831"/>
    <w:next w:val="831"/>
    <w:uiPriority w:val="39"/>
    <w:unhideWhenUsed/>
    <w:pPr>
      <w:ind w:left="850" w:right="0" w:firstLine="0"/>
      <w:spacing w:after="57"/>
    </w:pPr>
  </w:style>
  <w:style w:type="paragraph" w:styleId="824">
    <w:name w:val="toc 5"/>
    <w:basedOn w:val="831"/>
    <w:next w:val="831"/>
    <w:uiPriority w:val="39"/>
    <w:unhideWhenUsed/>
    <w:pPr>
      <w:ind w:left="1134" w:right="0" w:firstLine="0"/>
      <w:spacing w:after="57"/>
    </w:pPr>
  </w:style>
  <w:style w:type="paragraph" w:styleId="825">
    <w:name w:val="toc 6"/>
    <w:basedOn w:val="831"/>
    <w:next w:val="831"/>
    <w:uiPriority w:val="39"/>
    <w:unhideWhenUsed/>
    <w:pPr>
      <w:ind w:left="1417" w:right="0" w:firstLine="0"/>
      <w:spacing w:after="57"/>
    </w:pPr>
  </w:style>
  <w:style w:type="paragraph" w:styleId="826">
    <w:name w:val="toc 7"/>
    <w:basedOn w:val="831"/>
    <w:next w:val="831"/>
    <w:uiPriority w:val="39"/>
    <w:unhideWhenUsed/>
    <w:pPr>
      <w:ind w:left="1701" w:right="0" w:firstLine="0"/>
      <w:spacing w:after="57"/>
    </w:pPr>
  </w:style>
  <w:style w:type="paragraph" w:styleId="827">
    <w:name w:val="toc 8"/>
    <w:basedOn w:val="831"/>
    <w:next w:val="831"/>
    <w:uiPriority w:val="39"/>
    <w:unhideWhenUsed/>
    <w:pPr>
      <w:ind w:left="1984" w:right="0" w:firstLine="0"/>
      <w:spacing w:after="57"/>
    </w:pPr>
  </w:style>
  <w:style w:type="paragraph" w:styleId="828">
    <w:name w:val="toc 9"/>
    <w:basedOn w:val="831"/>
    <w:next w:val="831"/>
    <w:uiPriority w:val="39"/>
    <w:unhideWhenUsed/>
    <w:pPr>
      <w:ind w:left="2268" w:right="0" w:firstLine="0"/>
      <w:spacing w:after="57"/>
    </w:pPr>
  </w:style>
  <w:style w:type="paragraph" w:styleId="829">
    <w:name w:val="TOC Heading"/>
    <w:uiPriority w:val="39"/>
    <w:unhideWhenUsed/>
  </w:style>
  <w:style w:type="paragraph" w:styleId="830">
    <w:name w:val="table of figures"/>
    <w:basedOn w:val="831"/>
    <w:next w:val="831"/>
    <w:uiPriority w:val="99"/>
    <w:unhideWhenUsed/>
    <w:pPr>
      <w:spacing w:after="0" w:afterAutospacing="0"/>
    </w:pPr>
  </w:style>
  <w:style w:type="paragraph" w:styleId="831" w:default="1">
    <w:name w:val="Normal"/>
    <w:qFormat/>
  </w:style>
  <w:style w:type="character" w:styleId="832" w:default="1">
    <w:name w:val="Default Paragraph Font"/>
    <w:uiPriority w:val="1"/>
    <w:semiHidden/>
    <w:unhideWhenUsed/>
  </w:style>
  <w:style w:type="table" w:styleId="83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4" w:default="1">
    <w:name w:val="No List"/>
    <w:uiPriority w:val="99"/>
    <w:semiHidden/>
    <w:unhideWhenUsed/>
  </w:style>
  <w:style w:type="character" w:styleId="835">
    <w:name w:val="Hyperlink"/>
    <w:basedOn w:val="832"/>
    <w:uiPriority w:val="99"/>
    <w:unhideWhenUsed/>
    <w:rPr>
      <w:color w:val="0000ff"/>
      <w:u w:val="single"/>
    </w:rPr>
  </w:style>
  <w:style w:type="character" w:styleId="836">
    <w:name w:val="FollowedHyperlink"/>
    <w:basedOn w:val="832"/>
    <w:uiPriority w:val="99"/>
    <w:semiHidden/>
    <w:unhideWhenUsed/>
    <w:rPr>
      <w:color w:val="954f72" w:themeColor="followedHyperlink"/>
      <w:u w:val="single"/>
    </w:rPr>
  </w:style>
  <w:style w:type="paragraph" w:styleId="837">
    <w:name w:val="Balloon Text"/>
    <w:basedOn w:val="831"/>
    <w:link w:val="83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838" w:customStyle="1">
    <w:name w:val="Текст выноски Знак"/>
    <w:basedOn w:val="832"/>
    <w:link w:val="837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hyperlink" Target="https://vk.com/public_rosreestr35?w=wall-196614105_2992" TargetMode="External"/><Relationship Id="rId10" Type="http://schemas.openxmlformats.org/officeDocument/2006/relationships/hyperlink" Target="https://rosreestr.gov.ru/open-service/obzor-zakonov-o-nedvizhimosti/shagi-dlya-dogazifikatsii-zhilykh-domov-v-snt/" TargetMode="External"/><Relationship Id="rId11" Type="http://schemas.openxmlformats.org/officeDocument/2006/relationships/hyperlink" Target="mailto:press@r35.rosreestr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Р7-Офис/2024.3.2.584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Дуда Оксана Иосифовна</dc:creator>
  <cp:keywords/>
  <dc:description/>
  <cp:revision>9</cp:revision>
  <dcterms:created xsi:type="dcterms:W3CDTF">2024-07-10T10:36:00Z</dcterms:created>
  <dcterms:modified xsi:type="dcterms:W3CDTF">2025-03-27T13:32:04Z</dcterms:modified>
</cp:coreProperties>
</file>