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bookmarkStart w:id="0" w:name="_GoBack"/>
      <w:bookmarkEnd w:id="0"/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B677E2">
        <w:rPr>
          <w:sz w:val="25"/>
          <w:szCs w:val="25"/>
        </w:rPr>
        <w:t>25</w:t>
      </w:r>
      <w:r w:rsidR="008278DD">
        <w:rPr>
          <w:sz w:val="25"/>
          <w:szCs w:val="25"/>
        </w:rPr>
        <w:t>.</w:t>
      </w:r>
      <w:r w:rsidR="002B559F">
        <w:rPr>
          <w:sz w:val="25"/>
          <w:szCs w:val="25"/>
        </w:rPr>
        <w:t>12</w:t>
      </w:r>
      <w:r w:rsidR="008278DD">
        <w:rPr>
          <w:sz w:val="25"/>
          <w:szCs w:val="25"/>
        </w:rPr>
        <w:t>.202</w:t>
      </w:r>
      <w:r w:rsidR="00016C97">
        <w:rPr>
          <w:sz w:val="25"/>
          <w:szCs w:val="25"/>
        </w:rPr>
        <w:t>3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8479E5">
        <w:rPr>
          <w:sz w:val="25"/>
          <w:szCs w:val="25"/>
        </w:rPr>
        <w:t>524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8836CB" w:rsidRDefault="00C31CFD" w:rsidP="008836CB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</w:t>
      </w:r>
      <w:r w:rsidR="00385FF4">
        <w:rPr>
          <w:sz w:val="28"/>
          <w:szCs w:val="28"/>
        </w:rPr>
        <w:t>1</w:t>
      </w:r>
      <w:r w:rsidRPr="00B105D2">
        <w:rPr>
          <w:sz w:val="28"/>
          <w:szCs w:val="28"/>
        </w:rPr>
        <w:t>. Изложить муниципальную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E75965" w:rsidRPr="00E75965" w:rsidRDefault="00385FF4" w:rsidP="009B3C6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E5E" w:rsidRPr="00E75965">
        <w:rPr>
          <w:sz w:val="28"/>
          <w:szCs w:val="28"/>
        </w:rPr>
        <w:t xml:space="preserve"> </w:t>
      </w:r>
      <w:r w:rsidR="00E75965" w:rsidRPr="00E75965">
        <w:rPr>
          <w:sz w:val="28"/>
          <w:szCs w:val="28"/>
        </w:rPr>
        <w:t>Настоящее  Постановление  опубликовать  в информационном вестнике     «</w:t>
      </w:r>
      <w:proofErr w:type="spellStart"/>
      <w:r w:rsidR="00E75965" w:rsidRPr="00E75965">
        <w:rPr>
          <w:sz w:val="28"/>
          <w:szCs w:val="28"/>
        </w:rPr>
        <w:t>Югский</w:t>
      </w:r>
      <w:proofErr w:type="spellEnd"/>
      <w:r w:rsidR="00E75965" w:rsidRPr="00E75965"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6D05C4" w:rsidRDefault="00016C97" w:rsidP="006D05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17F6F">
        <w:rPr>
          <w:sz w:val="28"/>
          <w:szCs w:val="28"/>
        </w:rPr>
        <w:t>А.В.Замыслов</w:t>
      </w:r>
      <w:proofErr w:type="spellEnd"/>
    </w:p>
    <w:p w:rsidR="00FA0831" w:rsidRDefault="00FA0831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460F7F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B677E2">
        <w:rPr>
          <w:rFonts w:ascii="Times New Roman" w:hAnsi="Times New Roman" w:cs="Times New Roman"/>
          <w:b w:val="0"/>
          <w:sz w:val="18"/>
          <w:szCs w:val="18"/>
        </w:rPr>
        <w:t>25</w:t>
      </w:r>
      <w:r w:rsidR="009B3C64" w:rsidRPr="00460F7F">
        <w:rPr>
          <w:rFonts w:ascii="Times New Roman" w:hAnsi="Times New Roman" w:cs="Times New Roman"/>
          <w:b w:val="0"/>
          <w:sz w:val="18"/>
          <w:szCs w:val="18"/>
        </w:rPr>
        <w:t>.</w:t>
      </w:r>
      <w:r w:rsidR="00460F7F" w:rsidRPr="00460F7F">
        <w:rPr>
          <w:rFonts w:ascii="Times New Roman" w:hAnsi="Times New Roman" w:cs="Times New Roman"/>
          <w:b w:val="0"/>
          <w:sz w:val="18"/>
          <w:szCs w:val="18"/>
        </w:rPr>
        <w:t>12</w:t>
      </w:r>
      <w:r w:rsidR="00A34583" w:rsidRPr="00460F7F">
        <w:rPr>
          <w:rFonts w:ascii="Times New Roman" w:hAnsi="Times New Roman" w:cs="Times New Roman"/>
          <w:b w:val="0"/>
          <w:sz w:val="18"/>
          <w:szCs w:val="18"/>
        </w:rPr>
        <w:t>.202</w:t>
      </w:r>
      <w:r w:rsidR="00832063" w:rsidRPr="00460F7F">
        <w:rPr>
          <w:rFonts w:ascii="Times New Roman" w:hAnsi="Times New Roman" w:cs="Times New Roman"/>
          <w:b w:val="0"/>
          <w:sz w:val="18"/>
          <w:szCs w:val="18"/>
        </w:rPr>
        <w:t>3</w:t>
      </w:r>
      <w:r w:rsidR="00412114" w:rsidRPr="00460F7F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460F7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8479E5">
        <w:rPr>
          <w:rFonts w:ascii="Times New Roman" w:hAnsi="Times New Roman" w:cs="Times New Roman"/>
          <w:b w:val="0"/>
          <w:sz w:val="18"/>
          <w:szCs w:val="18"/>
        </w:rPr>
        <w:t>524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6D05C4">
        <w:rPr>
          <w:sz w:val="18"/>
          <w:szCs w:val="18"/>
        </w:rPr>
        <w:t>5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2014-2025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15" w:type="dxa"/>
        <w:tblInd w:w="-492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9378"/>
      </w:tblGrid>
      <w:tr w:rsidR="00832063" w:rsidTr="00625C89">
        <w:trPr>
          <w:trHeight w:val="274"/>
        </w:trPr>
        <w:tc>
          <w:tcPr>
            <w:tcW w:w="1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2014-2025 годы»</w:t>
            </w:r>
          </w:p>
        </w:tc>
      </w:tr>
      <w:tr w:rsidR="00832063" w:rsidTr="00625C89">
        <w:trPr>
          <w:trHeight w:val="33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625C89">
        <w:trPr>
          <w:cantSplit/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1. Основными целями Программы являются: сохранение   </w:t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625C89">
        <w:trPr>
          <w:trHeight w:val="34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2025 годы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594EB0" w:rsidP="00594E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</w:t>
            </w:r>
            <w:r w:rsidR="00832063">
              <w:rPr>
                <w:rFonts w:cs="Calibri"/>
                <w:sz w:val="22"/>
                <w:szCs w:val="22"/>
                <w:lang w:eastAsia="en-US"/>
              </w:rPr>
              <w:t xml:space="preserve">иректор МУК «Югское СКСО» 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Людмила Александровна</w:t>
            </w: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57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736"/>
              <w:gridCol w:w="736"/>
              <w:gridCol w:w="656"/>
              <w:gridCol w:w="656"/>
            </w:tblGrid>
            <w:tr w:rsidR="00625C89" w:rsidTr="00625C89"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B677E2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10264,7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</w:t>
                  </w:r>
                  <w:r w:rsidR="007519D8">
                    <w:rPr>
                      <w:rFonts w:cs="Calibri"/>
                      <w:sz w:val="16"/>
                      <w:szCs w:val="16"/>
                      <w:lang w:eastAsia="en-US"/>
                    </w:rPr>
                    <w:t>0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32063" w:rsidRDefault="007519D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финансирования 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программы: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C89" w:rsidRDefault="00625C89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B677E2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9862,2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1C2F0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Pr="00176CC6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</w:t>
      </w:r>
      <w:proofErr w:type="spellStart"/>
      <w:r>
        <w:t>софинансирования</w:t>
      </w:r>
      <w:proofErr w:type="spellEnd"/>
      <w:r>
        <w:t xml:space="preserve">.  </w:t>
      </w:r>
    </w:p>
    <w:p w:rsidR="00460F7F" w:rsidRDefault="00460F7F" w:rsidP="00CE2BAE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>Основное мероприятие 03 « Прочие мероприятия, выполняемые в рамках муниципальной программы»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 xml:space="preserve">- иные закупки товаров, работ и услуг для обеспечения государственных (муниципальных) нужд 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9415D8" w:rsidRDefault="00CE2BAE" w:rsidP="00460F7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</w:t>
      </w:r>
      <w:proofErr w:type="gramStart"/>
      <w:r w:rsidRPr="006B3C2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B3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BAE" w:rsidRPr="006B3C2D" w:rsidRDefault="00CE2BAE" w:rsidP="009415D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3C2D"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625C89">
        <w:rPr>
          <w:sz w:val="23"/>
          <w:szCs w:val="23"/>
        </w:rPr>
        <w:t>5</w:t>
      </w:r>
      <w:r w:rsidRPr="00A83FA2">
        <w:rPr>
          <w:sz w:val="23"/>
          <w:szCs w:val="23"/>
        </w:rPr>
        <w:t xml:space="preserve">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9415D8" w:rsidRPr="00E75965" w:rsidRDefault="009415D8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9415D8">
        <w:rPr>
          <w:b/>
          <w:sz w:val="24"/>
          <w:szCs w:val="24"/>
        </w:rPr>
        <w:t>75</w:t>
      </w:r>
      <w:r w:rsidR="00B677E2">
        <w:rPr>
          <w:b/>
          <w:sz w:val="24"/>
          <w:szCs w:val="24"/>
        </w:rPr>
        <w:t> 610,00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p w:rsidR="009415D8" w:rsidRPr="00625C89" w:rsidRDefault="009415D8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99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25C89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Pr="00625C89" w:rsidRDefault="00625C89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B677E2" w:rsidP="00E97045">
            <w:pPr>
              <w:pStyle w:val="21"/>
              <w:spacing w:line="240" w:lineRule="auto"/>
              <w:ind w:left="0"/>
            </w:pPr>
            <w:r>
              <w:t>10264,7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B677E2" w:rsidP="00E97045">
            <w:pPr>
              <w:pStyle w:val="21"/>
              <w:spacing w:line="240" w:lineRule="auto"/>
              <w:ind w:left="0"/>
            </w:pPr>
            <w:r>
              <w:t>9862,2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C6107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1C2F0C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9415D8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415D8" w:rsidRDefault="009415D8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3A07C5" w:rsidRPr="0068730F" w:rsidRDefault="00F2400E" w:rsidP="00BC341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="00BC3416">
        <w:rPr>
          <w:sz w:val="24"/>
          <w:szCs w:val="24"/>
        </w:rPr>
        <w:t xml:space="preserve"> Югское </w:t>
      </w:r>
      <w:r w:rsidR="002F1B87"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594EB0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</w:t>
            </w:r>
            <w:r w:rsidR="007E3329">
              <w:rPr>
                <w:rFonts w:cs="Calibri"/>
                <w:sz w:val="22"/>
                <w:szCs w:val="22"/>
              </w:rPr>
              <w:t xml:space="preserve">иректор МУК «Югское СКСО» </w:t>
            </w:r>
          </w:p>
          <w:p w:rsidR="0051666E" w:rsidRDefault="00594EB0" w:rsidP="0068730F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Людмила Александровна</w:t>
            </w:r>
            <w:r w:rsidR="0068730F">
              <w:rPr>
                <w:sz w:val="22"/>
                <w:szCs w:val="22"/>
              </w:rPr>
              <w:t xml:space="preserve"> 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E75965" w:rsidRDefault="00E75965" w:rsidP="00BC3416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169"/>
        <w:gridCol w:w="1049"/>
        <w:gridCol w:w="1131"/>
        <w:gridCol w:w="1222"/>
        <w:gridCol w:w="1114"/>
        <w:gridCol w:w="1686"/>
      </w:tblGrid>
      <w:tr w:rsidR="0068730F" w:rsidRPr="004815BE" w:rsidTr="002E1F4B">
        <w:trPr>
          <w:cantSplit/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68730F" w:rsidRPr="004815BE" w:rsidTr="002E1F4B">
        <w:trPr>
          <w:cantSplit/>
          <w:trHeight w:val="300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4815BE" w:rsidTr="002E1F4B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94EB0" w:rsidRPr="004815BE" w:rsidTr="002E1F4B">
        <w:trPr>
          <w:trHeight w:val="3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EB0" w:rsidRDefault="00594EB0" w:rsidP="00594EB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</w:p>
          <w:p w:rsidR="00594EB0" w:rsidRDefault="00594EB0" w:rsidP="00594EB0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Людмила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  <w:p w:rsidR="00594EB0" w:rsidRPr="004815BE" w:rsidRDefault="00594EB0" w:rsidP="00594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594EB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Pr="004815BE" w:rsidRDefault="00B677E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10 264,7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</w:p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</w:p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B0" w:rsidRDefault="00594EB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68730F">
              <w:rPr>
                <w:sz w:val="22"/>
                <w:szCs w:val="22"/>
              </w:rPr>
              <w:t>5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3068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</w:tblGrid>
      <w:tr w:rsidR="0068730F" w:rsidRPr="00FD76AE" w:rsidTr="00112985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68730F" w:rsidRPr="00FD76AE" w:rsidTr="00112985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FD76AE" w:rsidTr="00112985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8730F" w:rsidRPr="00FD76AE" w:rsidTr="00112985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BF600B" w:rsidRDefault="0068730F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5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B677E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10264,7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112985" w:rsidRPr="00FD76AE" w:rsidTr="00112985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FD76AE" w:rsidRDefault="00112985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112985" w:rsidRPr="00FD76AE" w:rsidRDefault="00112985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112985" w:rsidRPr="00BF600B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112985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B677E2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9862,2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68730F" w:rsidRPr="00FD76AE" w:rsidTr="00112985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112985">
              <w:rPr>
                <w:sz w:val="22"/>
                <w:szCs w:val="22"/>
              </w:rPr>
              <w:t xml:space="preserve">ализация мероприятий, направленных на развитие муниципальных учреждений культуры и образования в сфере культуры и искусства 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68730F" w:rsidRPr="00BF600B" w:rsidRDefault="0068730F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</w:t>
            </w:r>
            <w:r w:rsidR="009415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lastRenderedPageBreak/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1"/>
        <w:gridCol w:w="621"/>
        <w:gridCol w:w="96"/>
        <w:gridCol w:w="525"/>
        <w:gridCol w:w="711"/>
        <w:gridCol w:w="711"/>
        <w:gridCol w:w="711"/>
        <w:gridCol w:w="714"/>
        <w:gridCol w:w="711"/>
        <w:gridCol w:w="711"/>
        <w:gridCol w:w="801"/>
        <w:gridCol w:w="801"/>
        <w:gridCol w:w="711"/>
        <w:gridCol w:w="711"/>
      </w:tblGrid>
      <w:tr w:rsidR="00112985" w:rsidRPr="006F6E02" w:rsidTr="00112985">
        <w:trPr>
          <w:cantSplit/>
          <w:trHeight w:val="30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15360E" w:rsidRDefault="00112985" w:rsidP="002E1F4B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 w:rsidR="002E1F4B">
              <w:rPr>
                <w:rFonts w:cs="Calibri"/>
                <w:sz w:val="16"/>
                <w:szCs w:val="16"/>
              </w:rPr>
              <w:t>Абрамянц</w:t>
            </w:r>
            <w:proofErr w:type="spellEnd"/>
            <w:r w:rsidR="002E1F4B">
              <w:rPr>
                <w:rFonts w:cs="Calibri"/>
                <w:sz w:val="16"/>
                <w:szCs w:val="16"/>
              </w:rPr>
              <w:t xml:space="preserve"> Л.А.</w:t>
            </w:r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112985" w:rsidRPr="006F6E02" w:rsidTr="00176CC6">
        <w:trPr>
          <w:cantSplit/>
          <w:trHeight w:val="300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B677E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10264,7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B677E2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9862,2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C2F0C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616"/>
        <w:gridCol w:w="567"/>
        <w:gridCol w:w="567"/>
        <w:gridCol w:w="567"/>
        <w:gridCol w:w="567"/>
        <w:gridCol w:w="500"/>
        <w:gridCol w:w="605"/>
        <w:gridCol w:w="616"/>
        <w:gridCol w:w="624"/>
        <w:gridCol w:w="12"/>
        <w:gridCol w:w="604"/>
        <w:gridCol w:w="616"/>
        <w:gridCol w:w="616"/>
      </w:tblGrid>
      <w:tr w:rsidR="00112985" w:rsidRPr="0034108F" w:rsidTr="00112985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77" w:type="dxa"/>
            <w:gridSpan w:val="13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112985" w:rsidRPr="0034108F" w:rsidTr="00112985">
        <w:trPr>
          <w:cantSplit/>
          <w:trHeight w:val="113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112985" w:rsidRPr="0034108F" w:rsidTr="00112985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</w:tr>
      <w:tr w:rsidR="00112985" w:rsidRPr="0034108F" w:rsidTr="00112985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</w:t>
            </w:r>
            <w:r w:rsidRPr="005059E5">
              <w:rPr>
                <w:sz w:val="20"/>
                <w:szCs w:val="20"/>
              </w:rPr>
              <w:lastRenderedPageBreak/>
              <w:t>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стимулирование творческой деятельности в области традиционной народной </w:t>
            </w:r>
            <w:r w:rsidRPr="005059E5">
              <w:rPr>
                <w:sz w:val="20"/>
                <w:szCs w:val="20"/>
              </w:rPr>
              <w:lastRenderedPageBreak/>
              <w:t>культуры, литературы, искусства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112985" w:rsidRPr="0034108F" w:rsidRDefault="00112985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9A2313" w:rsidRDefault="00112985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 w:rsidR="008B48D6"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12985" w:rsidRPr="0034108F" w:rsidTr="00112985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112985" w:rsidRPr="003E0250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</w:t>
            </w:r>
            <w:r w:rsidR="008B48D6">
              <w:t>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8B48D6">
            <w:r>
              <w:t>доля мероприяти</w:t>
            </w:r>
            <w:r w:rsidR="008B48D6">
              <w:t>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12985" w:rsidRPr="0034108F" w:rsidTr="00112985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112985" w:rsidRPr="0034108F" w:rsidTr="00112985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112985" w:rsidRPr="0034108F" w:rsidTr="00112985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5234E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76CC6"/>
    <w:rsid w:val="00183768"/>
    <w:rsid w:val="001C2F0C"/>
    <w:rsid w:val="001C585D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B559F"/>
    <w:rsid w:val="002C3FA6"/>
    <w:rsid w:val="002D23D1"/>
    <w:rsid w:val="002E1F4B"/>
    <w:rsid w:val="002F1B87"/>
    <w:rsid w:val="00301925"/>
    <w:rsid w:val="003129DD"/>
    <w:rsid w:val="00314619"/>
    <w:rsid w:val="00321DEA"/>
    <w:rsid w:val="003625FA"/>
    <w:rsid w:val="00385FF4"/>
    <w:rsid w:val="003A07C5"/>
    <w:rsid w:val="003B03B2"/>
    <w:rsid w:val="003B0673"/>
    <w:rsid w:val="003E0250"/>
    <w:rsid w:val="00404698"/>
    <w:rsid w:val="00406BB8"/>
    <w:rsid w:val="00412114"/>
    <w:rsid w:val="0042510F"/>
    <w:rsid w:val="00433595"/>
    <w:rsid w:val="00436FD1"/>
    <w:rsid w:val="00460F7F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2F05"/>
    <w:rsid w:val="00566599"/>
    <w:rsid w:val="00594EB0"/>
    <w:rsid w:val="005953DA"/>
    <w:rsid w:val="005A35A0"/>
    <w:rsid w:val="005B236A"/>
    <w:rsid w:val="00622872"/>
    <w:rsid w:val="00625C89"/>
    <w:rsid w:val="00666869"/>
    <w:rsid w:val="006714B4"/>
    <w:rsid w:val="0068730F"/>
    <w:rsid w:val="00692115"/>
    <w:rsid w:val="006A14E9"/>
    <w:rsid w:val="006D05C4"/>
    <w:rsid w:val="00712E3D"/>
    <w:rsid w:val="00726EB6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479E5"/>
    <w:rsid w:val="00865651"/>
    <w:rsid w:val="00866215"/>
    <w:rsid w:val="00872CE1"/>
    <w:rsid w:val="008836CB"/>
    <w:rsid w:val="00895B95"/>
    <w:rsid w:val="008A3BD4"/>
    <w:rsid w:val="008B48D6"/>
    <w:rsid w:val="009044A4"/>
    <w:rsid w:val="00904FD9"/>
    <w:rsid w:val="009061DD"/>
    <w:rsid w:val="00921E5E"/>
    <w:rsid w:val="0092299C"/>
    <w:rsid w:val="009415D8"/>
    <w:rsid w:val="00947AF8"/>
    <w:rsid w:val="0095165C"/>
    <w:rsid w:val="00953E96"/>
    <w:rsid w:val="009640EA"/>
    <w:rsid w:val="00977D0D"/>
    <w:rsid w:val="009A2313"/>
    <w:rsid w:val="009A277B"/>
    <w:rsid w:val="009B3C64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677E2"/>
    <w:rsid w:val="00B67A33"/>
    <w:rsid w:val="00B73934"/>
    <w:rsid w:val="00B757F3"/>
    <w:rsid w:val="00B80FDC"/>
    <w:rsid w:val="00B81DCE"/>
    <w:rsid w:val="00B831B6"/>
    <w:rsid w:val="00B8501A"/>
    <w:rsid w:val="00BC3416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C6107"/>
    <w:rsid w:val="00CD2156"/>
    <w:rsid w:val="00CE2BAE"/>
    <w:rsid w:val="00CE53B4"/>
    <w:rsid w:val="00CE616E"/>
    <w:rsid w:val="00D02128"/>
    <w:rsid w:val="00D17F6F"/>
    <w:rsid w:val="00D21A24"/>
    <w:rsid w:val="00D43265"/>
    <w:rsid w:val="00D742AE"/>
    <w:rsid w:val="00D7483A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97045"/>
    <w:rsid w:val="00EA29BD"/>
    <w:rsid w:val="00EB0599"/>
    <w:rsid w:val="00EB7C1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E7F7-8412-4704-BB2D-05A3A19B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2023-12-11T08:40:00Z</cp:lastPrinted>
  <dcterms:created xsi:type="dcterms:W3CDTF">2023-12-26T10:15:00Z</dcterms:created>
  <dcterms:modified xsi:type="dcterms:W3CDTF">2023-12-26T10:15:00Z</dcterms:modified>
</cp:coreProperties>
</file>