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7915" cy="26990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70207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997914" cy="2699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2.28pt;height:212.52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r>
    </w:p>
    <w:p>
      <w:pPr>
        <w:jc w:val="center"/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ascii="Tinos" w:hAnsi="Tinos" w:eastAsia="Tinos" w:cs="Tinos"/>
          <w:b/>
          <w:bCs/>
          <w:color w:val="000000"/>
          <w:sz w:val="28"/>
          <w:szCs w:val="28"/>
          <w:shd w:val="clear" w:color="auto" w:fill="ffffff"/>
        </w:rPr>
        <w:t xml:space="preserve">Более трех тысяч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shd w:val="clear" w:color="auto" w:fill="ffffff"/>
        </w:rPr>
        <w:t xml:space="preserve"> объектов недвижимости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  <w:t xml:space="preserve"> оформили вологжане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shd w:val="clear" w:color="auto" w:fill="ffffff"/>
        </w:rPr>
        <w:t xml:space="preserve"> по «гаражной амнистии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  <w:t xml:space="preserve">» в 2025 году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  <w:shd w:val="clear" w:color="auto" w:fill="ffffff"/>
        </w:rPr>
      </w:r>
    </w:p>
    <w:p>
      <w:pPr>
        <w:pStyle w:val="836"/>
        <w:ind w:firstLine="708"/>
        <w:jc w:val="both"/>
        <w:spacing w:before="0" w:beforeAutospacing="0" w:after="0" w:afterAutospacing="0"/>
        <w:shd w:val="clear" w:color="auto" w:fill="ffffff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left="0" w:right="0" w:firstLine="708"/>
        <w:jc w:val="both"/>
        <w:spacing w:after="0" w:afterAutospacing="0"/>
        <w:shd w:val="clear" w:color="ffffff" w:fill="ffffff"/>
        <w:rPr>
          <w:rFonts w:ascii="Liberation Sans" w:hAnsi="Liberation Sans" w:eastAsia="Liberation Sans" w:cs="Liberation Sans"/>
          <w:bCs w:val="0"/>
          <w:i w:val="0"/>
          <w:color w:val="222222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Упрощенный порядок оформления прав на гаражные боксы и земельные участки под ними «гаражная амнистия» действует с 2021 года.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</w:rPr>
        <w:t xml:space="preserve">В порядке «гаражной амнистии» граждане могут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бесплатно оформить права на земельный участок и гараж, расположенный на нем, в случае когда он является капитальной постройкой, возведенной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до 30 декабря 2004 года, имеет фундамент и прочную связь с землей и не признан самовольной постройкой. </w:t>
      </w:r>
      <w:r>
        <w:rPr>
          <w:rFonts w:ascii="PT Astra Serif" w:hAnsi="PT Astra Serif" w:cs="PT Astra Serif"/>
          <w:i w:val="0"/>
          <w:iCs w:val="0"/>
          <w:color w:val="auto"/>
          <w:sz w:val="28"/>
          <w:szCs w:val="28"/>
          <w:highlight w:val="white"/>
        </w:rPr>
      </w:r>
      <w:r>
        <w:rPr>
          <w:rFonts w:ascii="Liberation Sans" w:hAnsi="Liberation Sans" w:eastAsia="Liberation Sans" w:cs="Liberation Sans"/>
          <w:bCs w:val="0"/>
          <w:i w:val="0"/>
          <w:color w:val="222222"/>
          <w:sz w:val="20"/>
          <w:szCs w:val="20"/>
          <w:highlight w:val="none"/>
        </w:rPr>
      </w:r>
    </w:p>
    <w:p>
      <w:pPr>
        <w:ind w:left="0" w:right="0" w:firstLine="708"/>
        <w:jc w:val="both"/>
        <w:spacing w:after="0" w:afterAutospacing="0"/>
        <w:shd w:val="clear" w:color="ffffff" w:fill="ffffff"/>
        <w:rPr>
          <w:rFonts w:ascii="Roboto" w:hAnsi="Roboto" w:eastAsia="Roboto" w:cs="Roboto"/>
          <w:color w:val="292c2f"/>
          <w:sz w:val="21"/>
          <w:szCs w:val="2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222222"/>
          <w:sz w:val="20"/>
          <w:highlight w:val="none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В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white"/>
        </w:rPr>
        <w:t xml:space="preserve">2025 году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вологжане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shd w:val="clear" w:color="auto" w:fill="ffffff"/>
        </w:rPr>
        <w:t xml:space="preserve"> в рамках упрощенной процедуры оформили права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на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</w:rPr>
        <w:t xml:space="preserve">3326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shd w:val="clear" w:color="auto" w:fill="ffffff"/>
        </w:rPr>
        <w:t xml:space="preserve">объектов недвижимости: 695 капитальных гаражей, 2631 земельный участок. Традиционно,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</w:rPr>
        <w:t xml:space="preserve">лидерами по числу оформленных прав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  <w:highlight w:val="none"/>
          <w:shd w:val="clear" w:color="auto" w:fill="ffffff"/>
        </w:rPr>
        <w:t xml:space="preserve"> стали Вологда, Череповец и Сокол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», – сообщил 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руководитель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shd w:val="clear" w:color="auto" w:fill="ffffff"/>
        </w:rPr>
        <w:t xml:space="preserve">Дмитрий Тулин</w:t>
      </w: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.</w:t>
      </w:r>
      <w:r>
        <w:rPr>
          <w:rFonts w:ascii="PT Astra Serif" w:hAnsi="PT Astra Serif" w:cs="PT Astra Serif"/>
          <w:color w:val="auto"/>
          <w:sz w:val="28"/>
          <w:szCs w:val="28"/>
          <w:highlight w:val="white"/>
        </w:rPr>
      </w:r>
      <w:r>
        <w:rPr>
          <w:rFonts w:ascii="Roboto" w:hAnsi="Roboto" w:eastAsia="Roboto" w:cs="Roboto"/>
          <w:color w:val="292c2f"/>
          <w:sz w:val="21"/>
          <w:szCs w:val="21"/>
          <w:highlight w:val="none"/>
        </w:rPr>
      </w:r>
    </w:p>
    <w:p>
      <w:pPr>
        <w:ind w:left="0" w:right="0" w:firstLine="708"/>
        <w:jc w:val="both"/>
        <w:spacing w:after="0" w:afterAutospacing="0"/>
        <w:shd w:val="clear" w:color="ffffff" w:fill="ffffff"/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Надлежащим образом оформленное право собственности на гаражный бокс и земельный участок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позволит владельцам полноценно распоряжаться своим имуществом (продать, подарить, сдать в аренду, залог).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</w:r>
    </w:p>
    <w:p>
      <w:pPr>
        <w:pStyle w:val="832"/>
        <w:ind w:left="0" w:right="1" w:firstLine="567"/>
        <w:jc w:val="both"/>
        <w:spacing w:after="0" w:afterAutospacing="0"/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highlight w:val="none"/>
        </w:rPr>
      </w:r>
      <w:r>
        <w:rPr>
          <w:rStyle w:val="837"/>
          <w:rFonts w:ascii="PT Astra Serif" w:hAnsi="PT Astra Serif" w:eastAsia="PT Astra Serif" w:cs="PT Astra Serif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Напоминаем, Росреестр разработал методические рекомендации по реализации «гаражной амнистии», где в простой и доступной форме можно ознакомиться с процедуро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:shd w:val="clear" w:color="auto" w:fill="ffffff"/>
        </w:rPr>
        <w:t xml:space="preserve">й оформления гаражей в упрощенном порядке. С информацией можно ознакомиться по ссылке:</w:t>
      </w:r>
      <w:r>
        <w:rPr>
          <w:rFonts w:ascii="Liberation Sans" w:hAnsi="Liberation Sans" w:eastAsia="Liberation Sans" w:cs="Liberation Sans"/>
          <w:color w:val="222222"/>
          <w:sz w:val="20"/>
          <w:highlight w:val="none"/>
        </w:rPr>
        <w:br/>
      </w:r>
      <w:r>
        <w:rPr>
          <w:rFonts w:ascii="PT Astra Serif" w:hAnsi="PT Astra Serif" w:eastAsia="PT Astra Serif" w:cs="PT Astra Serif"/>
          <w:color w:val="222222"/>
          <w:sz w:val="28"/>
          <w:szCs w:val="28"/>
          <w:highlight w:val="none"/>
        </w:rPr>
      </w:r>
      <w:hyperlink r:id="rId9" w:tooltip="https://rosreestr.gov.ru/press/archive/garazhnaya-amnistiya-za-8-shagov-rosreestr-razrabotal-metodicheskie-rekomendatsii-dlya-grazhdan/" w:history="1">
        <w:r>
          <w:rPr>
            <w:rStyle w:val="841"/>
            <w:rFonts w:ascii="PT Astra Serif" w:hAnsi="PT Astra Serif" w:eastAsia="PT Astra Serif" w:cs="PT Astra Serif"/>
            <w:sz w:val="28"/>
            <w:szCs w:val="28"/>
            <w:highlight w:val="none"/>
          </w:rPr>
          <w:t xml:space="preserve">https://rosreestr.gov.ru/press/archive/garazhnaya-amnistiya-za-8-shagov-rosreestr-razrabotal-metodicheskie-rekomendatsii-dlya-grazhdan/</w:t>
        </w:r>
        <w:r>
          <w:rPr>
            <w:rStyle w:val="841"/>
            <w:rFonts w:ascii="PT Astra Serif" w:hAnsi="PT Astra Serif" w:eastAsia="PT Astra Serif" w:cs="PT Astra Serif"/>
            <w:sz w:val="28"/>
            <w:szCs w:val="28"/>
            <w:highlight w:val="none"/>
          </w:rPr>
        </w:r>
        <w:r>
          <w:rPr>
            <w:rStyle w:val="841"/>
            <w:rFonts w:ascii="PT Astra Serif" w:hAnsi="PT Astra Serif" w:eastAsia="PT Astra Serif" w:cs="PT Astra Serif"/>
            <w:sz w:val="28"/>
            <w:szCs w:val="28"/>
            <w:highlight w:val="none"/>
          </w:rPr>
        </w:r>
      </w:hyperlink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  <w:t xml:space="preserve">.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none"/>
          <w14:ligatures w14:val="none"/>
        </w:rPr>
      </w:r>
    </w:p>
    <w:p>
      <w:pPr>
        <w:ind w:left="0" w:right="1" w:firstLine="567"/>
        <w:jc w:val="both"/>
        <w:spacing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left="0" w:right="1" w:firstLine="567"/>
        <w:jc w:val="both"/>
        <w:spacing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0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left="0" w:right="1" w:firstLine="567"/>
        <w:jc w:val="both"/>
        <w:spacing w:after="0" w:afterAutospacing="0"/>
        <w:rPr>
          <w:rFonts w:ascii="PT Astra Serif" w:hAnsi="PT Astra Serif" w:cs="PT Astra Serif"/>
          <w:color w:val="auto"/>
          <w:sz w:val="28"/>
          <w:szCs w:val="28"/>
          <w:highlight w:val="none"/>
        </w:rPr>
      </w:pP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567" w:right="850" w:bottom="539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</w:font>
  <w:font w:name="Liberation Sans">
    <w:panose1 w:val="020B0604020202020204"/>
  </w:font>
  <w:font w:name="Tinos">
    <w:panose1 w:val="02020603050405020304"/>
  </w:font>
  <w:font w:name="Segoe UI">
    <w:panose1 w:val="020B0502040504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Normal (Web)"/>
    <w:basedOn w:val="832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7">
    <w:name w:val="Emphasis"/>
    <w:basedOn w:val="833"/>
    <w:uiPriority w:val="20"/>
    <w:qFormat/>
    <w:rPr>
      <w:i/>
      <w:iCs/>
    </w:rPr>
  </w:style>
  <w:style w:type="character" w:styleId="838">
    <w:name w:val="Strong"/>
    <w:basedOn w:val="833"/>
    <w:uiPriority w:val="22"/>
    <w:qFormat/>
    <w:rPr>
      <w:b/>
      <w:bCs/>
    </w:rPr>
  </w:style>
  <w:style w:type="paragraph" w:styleId="839">
    <w:name w:val="Balloon Text"/>
    <w:basedOn w:val="832"/>
    <w:link w:val="84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40" w:customStyle="1">
    <w:name w:val="Текст выноски Знак"/>
    <w:basedOn w:val="833"/>
    <w:link w:val="839"/>
    <w:uiPriority w:val="99"/>
    <w:semiHidden/>
    <w:rPr>
      <w:rFonts w:ascii="Segoe UI" w:hAnsi="Segoe UI" w:cs="Segoe UI"/>
      <w:sz w:val="18"/>
      <w:szCs w:val="18"/>
    </w:rPr>
  </w:style>
  <w:style w:type="character" w:styleId="841" w:customStyle="1">
    <w:name w:val="Гиперссылка"/>
    <w:next w:val="665"/>
    <w:link w:val="657"/>
    <w:uiPriority w:val="99"/>
    <w:unhideWhenUsed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s://rosreestr.gov.ru/press/archive/garazhnaya-amnistiya-za-8-shagov-rosreestr-razrabotal-metodicheskie-rekomendatsii-dlya-grazhdan/" TargetMode="External"/><Relationship Id="rId10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 Оксана Иосифовна</dc:creator>
  <cp:keywords/>
  <dc:description/>
  <cp:revision>15</cp:revision>
  <dcterms:created xsi:type="dcterms:W3CDTF">2023-09-05T05:39:00Z</dcterms:created>
  <dcterms:modified xsi:type="dcterms:W3CDTF">2026-01-16T08:40:43Z</dcterms:modified>
</cp:coreProperties>
</file>