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8"/>
        <w:jc w:val="center"/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76657" cy="345110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63584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5176657" cy="3451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07.61pt;height:271.74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/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</w:p>
    <w:p>
      <w:pPr>
        <w:ind w:firstLine="708"/>
        <w:jc w:val="center"/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</w:p>
    <w:p>
      <w:pPr>
        <w:ind w:firstLine="708"/>
        <w:jc w:val="center"/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Можно ли иностранцу владеть землей сельскохозяйственного назначения?</w: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</w:p>
    <w:p>
      <w:pPr>
        <w:ind w:firstLine="708"/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</w:p>
    <w:p>
      <w:pPr>
        <w:ind w:firstLine="708"/>
        <w:jc w:val="both"/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На вопросы вологжан отвечает руководитель Управления Росреестра по Вологодской области </w: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Дмитрий Тулин.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</w:p>
    <w:p>
      <w:pPr>
        <w:ind w:left="0" w:right="0" w:firstLine="708"/>
        <w:jc w:val="both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Вопрос: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 возможно ли подарить гражданину иностранного государства долю в праве на земельный участок сельскохозяйственного назначения?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ind w:left="0" w:right="0" w:firstLine="540"/>
        <w:jc w:val="both"/>
        <w:spacing w:before="0" w:after="0" w:line="288" w:lineRule="atLeast"/>
        <w:rPr>
          <w:rFonts w:ascii="PT Astra Serif" w:hAnsi="PT Astra Serif" w:cs="PT Astra Serif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  </w: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 Ответ: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 </w:t>
      </w:r>
      <w:r>
        <w:rPr>
          <w:rFonts w:ascii="PT Astra Serif" w:hAnsi="PT Astra Serif" w:eastAsia="PT Astra Serif" w:cs="PT Astra Serif"/>
          <w:color w:val="auto"/>
          <w:sz w:val="28"/>
          <w:szCs w:val="28"/>
          <w:u w:val="none"/>
        </w:rPr>
        <w:t xml:space="preserve">Статьей 8</w:t>
      </w:r>
      <w:r>
        <w:rPr>
          <w:rFonts w:ascii="PT Astra Serif" w:hAnsi="PT Astra Serif" w:eastAsia="PT Astra Serif" w:cs="PT Astra Serif"/>
          <w:color w:val="auto"/>
          <w:sz w:val="28"/>
          <w:szCs w:val="28"/>
        </w:rPr>
        <w:t xml:space="preserve"> Федерального закона «О введении в действие Земельного кодекса Российской Федерации» установлено, что иностранные граждане, лица без гражданства и иностранные юридические лица могут владеть и пользоваться земельными участками сельскохозяйственного назначен</w:t>
      </w:r>
      <w:r>
        <w:rPr>
          <w:rFonts w:ascii="PT Astra Serif" w:hAnsi="PT Astra Serif" w:eastAsia="PT Astra Serif" w:cs="PT Astra Serif"/>
          <w:color w:val="auto"/>
          <w:sz w:val="28"/>
          <w:szCs w:val="28"/>
        </w:rPr>
        <w:t xml:space="preserve">ия только на праве их аренды. Аналогичное правило также содержится в </w:t>
      </w:r>
      <w:r>
        <w:rPr>
          <w:rFonts w:ascii="PT Astra Serif" w:hAnsi="PT Astra Serif" w:eastAsia="PT Astra Serif" w:cs="PT Astra Serif"/>
          <w:color w:val="auto"/>
          <w:sz w:val="28"/>
          <w:szCs w:val="28"/>
          <w:u w:val="none"/>
        </w:rPr>
        <w:t xml:space="preserve">статье 3</w:t>
      </w:r>
      <w:r>
        <w:rPr>
          <w:rFonts w:ascii="PT Astra Serif" w:hAnsi="PT Astra Serif" w:eastAsia="PT Astra Serif" w:cs="PT Astra Serif"/>
          <w:color w:val="auto"/>
          <w:sz w:val="28"/>
          <w:szCs w:val="28"/>
        </w:rPr>
        <w:t xml:space="preserve"> ФЗ от 24.07.2002 N 101-ФЗ. Указанное ограничение связано с охраной земе</w:t>
      </w:r>
      <w:r>
        <w:rPr>
          <w:rFonts w:ascii="PT Astra Serif" w:hAnsi="PT Astra Serif" w:eastAsia="PT Astra Serif" w:cs="PT Astra Serif"/>
          <w:color w:val="000000"/>
          <w:sz w:val="28"/>
          <w:szCs w:val="28"/>
        </w:rPr>
        <w:t xml:space="preserve">ль сельскохозяйственного назначения как основы жизни и деятельности народов, проживающих на соответствующей территории.</w:t>
      </w:r>
      <w:r>
        <w:rPr>
          <w:rFonts w:ascii="PT Astra Serif" w:hAnsi="PT Astra Serif" w:eastAsia="PT Astra Serif" w:cs="PT Astra Serif"/>
          <w:sz w:val="28"/>
          <w:szCs w:val="28"/>
        </w:rPr>
      </w:r>
      <w:r>
        <w:rPr>
          <w:rFonts w:ascii="PT Astra Serif" w:hAnsi="PT Astra Serif" w:cs="PT Astra Serif"/>
          <w:color w:val="000000"/>
          <w:sz w:val="28"/>
          <w:szCs w:val="28"/>
        </w:rPr>
      </w:r>
    </w:p>
    <w:p>
      <w:pPr>
        <w:ind w:firstLine="708"/>
        <w:jc w:val="both"/>
        <w:rPr>
          <w:rFonts w:ascii="PT Astra Serif" w:hAnsi="PT Astra Serif" w:cs="PT Astra Serif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Следует отметить, </w:t>
      </w:r>
      <w:r>
        <w:rPr>
          <w:rFonts w:ascii="PT Astra Serif" w:hAnsi="PT Astra Serif" w:eastAsia="PT Astra Serif" w:cs="PT Astra Serif"/>
          <w:color w:val="000000"/>
          <w:sz w:val="28"/>
          <w:szCs w:val="28"/>
          <w:highlight w:val="white"/>
        </w:rPr>
        <w:t xml:space="preserve">если указанные участки приобретены иностранными лицами в собственность по законным основаниям (например, в порядке наследования), то в течение 1 года с момента возникновения права собственности такие лица должны произвести их отчуждение.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highlight w:val="none"/>
        </w:rPr>
      </w:r>
    </w:p>
    <w:p>
      <w:pPr>
        <w:ind w:firstLine="708"/>
        <w:jc w:val="both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color w:val="000000"/>
          <w:sz w:val="28"/>
          <w:szCs w:val="28"/>
          <w:highlight w:val="white"/>
        </w:rPr>
        <w:t xml:space="preserve">Также иностранным лицам запрещено приобретать участки, находящиеся в границах морского порта и на приграничных территориях, перечень которых утвержден Указом Президента РФ от 09.01.2011 № 26.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ind w:firstLine="708"/>
        <w:jc w:val="both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p>
      <w:pPr>
        <w:spacing w:after="0" w:line="240" w:lineRule="auto"/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t xml:space="preserve">Контакты для СМИ:</w:t>
      </w:r>
      <w:r/>
      <w:r/>
    </w:p>
    <w:p>
      <w:pPr>
        <w:spacing w:after="0" w:line="240" w:lineRule="auto"/>
      </w:pPr>
      <w:r>
        <w:t xml:space="preserve">Пресс-служба Управления </w:t>
      </w:r>
      <w:r>
        <w:t xml:space="preserve">Росреестра</w:t>
      </w:r>
      <w:r>
        <w:t xml:space="preserve"> по Вологодской области</w:t>
      </w:r>
      <w:r/>
      <w:r/>
    </w:p>
    <w:p>
      <w:pPr>
        <w:spacing w:after="0" w:line="240" w:lineRule="auto"/>
      </w:pPr>
      <w:r>
        <w:t xml:space="preserve">(8172) 72 86 11, доб. 1045</w:t>
      </w:r>
      <w:r/>
      <w:r/>
    </w:p>
    <w:p>
      <w:pPr>
        <w:spacing w:after="0" w:line="240" w:lineRule="auto"/>
      </w:pPr>
      <w:r/>
      <w:hyperlink r:id="rId9" w:tooltip="mailto:press@r35.rosreestr.ru" w:history="1">
        <w:r>
          <w:rPr>
            <w:rStyle w:val="814"/>
            <w:lang w:val="en-US"/>
          </w:rPr>
          <w:t xml:space="preserve">press</w:t>
        </w:r>
        <w:r>
          <w:rPr>
            <w:rStyle w:val="814"/>
          </w:rPr>
          <w:t xml:space="preserve">@</w:t>
        </w:r>
        <w:r>
          <w:rPr>
            <w:rStyle w:val="814"/>
            <w:lang w:val="en-US"/>
          </w:rPr>
          <w:t xml:space="preserve">r</w:t>
        </w:r>
        <w:r>
          <w:rPr>
            <w:rStyle w:val="814"/>
          </w:rPr>
          <w:t xml:space="preserve">35.</w:t>
        </w:r>
        <w:r>
          <w:rPr>
            <w:rStyle w:val="814"/>
            <w:lang w:val="en-US"/>
          </w:rPr>
          <w:t xml:space="preserve">rosreestr</w:t>
        </w:r>
        <w:r>
          <w:rPr>
            <w:rStyle w:val="814"/>
          </w:rPr>
          <w:t xml:space="preserve">.</w:t>
        </w:r>
        <w:r>
          <w:rPr>
            <w:rStyle w:val="814"/>
            <w:lang w:val="en-US"/>
          </w:rPr>
          <w:t xml:space="preserve">ru</w:t>
        </w:r>
      </w:hyperlink>
      <w:r/>
      <w:r/>
    </w:p>
    <w:p>
      <w:pPr>
        <w:spacing w:after="0" w:line="240" w:lineRule="auto"/>
      </w:pPr>
      <w:r>
        <w:t xml:space="preserve">160001, г. Вологда, ул. Челюскинцев, д. 3</w:t>
      </w:r>
      <w:r/>
      <w:r/>
    </w:p>
    <w:p>
      <w:pPr>
        <w:ind w:firstLine="708"/>
        <w:jc w:val="both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  <w:highlight w:val="none"/>
        </w:rPr>
      </w:r>
    </w:p>
    <w:sectPr>
      <w:footnotePr/>
      <w:endnotePr/>
      <w:type w:val="nextPage"/>
      <w:pgSz w:w="11906" w:h="16838" w:orient="portrait"/>
      <w:pgMar w:top="708" w:right="1273" w:bottom="397" w:left="1273" w:header="1440" w:footer="144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2"/>
    <w:next w:val="832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2"/>
    <w:next w:val="832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2"/>
    <w:next w:val="832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2"/>
    <w:next w:val="832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2"/>
    <w:next w:val="832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2"/>
    <w:next w:val="832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2"/>
    <w:next w:val="832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2"/>
    <w:next w:val="832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2"/>
    <w:next w:val="832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2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2"/>
    <w:next w:val="832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link w:val="674"/>
    <w:uiPriority w:val="10"/>
    <w:rPr>
      <w:sz w:val="48"/>
      <w:szCs w:val="48"/>
    </w:rPr>
  </w:style>
  <w:style w:type="paragraph" w:styleId="676">
    <w:name w:val="Subtitle"/>
    <w:basedOn w:val="832"/>
    <w:next w:val="832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link w:val="676"/>
    <w:uiPriority w:val="11"/>
    <w:rPr>
      <w:sz w:val="24"/>
      <w:szCs w:val="24"/>
    </w:rPr>
  </w:style>
  <w:style w:type="paragraph" w:styleId="678">
    <w:name w:val="Quote"/>
    <w:basedOn w:val="832"/>
    <w:next w:val="832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2"/>
    <w:next w:val="832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2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link w:val="682"/>
    <w:uiPriority w:val="99"/>
  </w:style>
  <w:style w:type="paragraph" w:styleId="684">
    <w:name w:val="Footer"/>
    <w:basedOn w:val="832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link w:val="684"/>
    <w:uiPriority w:val="99"/>
  </w:style>
  <w:style w:type="paragraph" w:styleId="686">
    <w:name w:val="Caption"/>
    <w:basedOn w:val="832"/>
    <w:next w:val="8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8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9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0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1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2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3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5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6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7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8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9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0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2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3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4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5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6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7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4">
    <w:name w:val="Hyperlink"/>
    <w:uiPriority w:val="99"/>
    <w:unhideWhenUsed/>
    <w:rPr>
      <w:color w:val="0000ff" w:themeColor="hyperlink"/>
      <w:u w:val="single"/>
    </w:rPr>
  </w:style>
  <w:style w:type="paragraph" w:styleId="815">
    <w:name w:val="footnote text"/>
    <w:basedOn w:val="832"/>
    <w:link w:val="816"/>
    <w:uiPriority w:val="99"/>
    <w:semiHidden/>
    <w:unhideWhenUsed/>
    <w:pPr>
      <w:spacing w:after="40" w:line="240" w:lineRule="auto"/>
    </w:pPr>
    <w:rPr>
      <w:sz w:val="18"/>
    </w:rPr>
  </w:style>
  <w:style w:type="character" w:styleId="816">
    <w:name w:val="Footnote Text Char"/>
    <w:link w:val="815"/>
    <w:uiPriority w:val="99"/>
    <w:rPr>
      <w:sz w:val="18"/>
    </w:rPr>
  </w:style>
  <w:style w:type="character" w:styleId="817">
    <w:name w:val="footnote reference"/>
    <w:uiPriority w:val="99"/>
    <w:unhideWhenUsed/>
    <w:rPr>
      <w:vertAlign w:val="superscript"/>
    </w:rPr>
  </w:style>
  <w:style w:type="paragraph" w:styleId="818">
    <w:name w:val="endnote text"/>
    <w:basedOn w:val="832"/>
    <w:link w:val="819"/>
    <w:uiPriority w:val="99"/>
    <w:semiHidden/>
    <w:unhideWhenUsed/>
    <w:pPr>
      <w:spacing w:after="0" w:line="240" w:lineRule="auto"/>
    </w:pPr>
    <w:rPr>
      <w:sz w:val="20"/>
    </w:rPr>
  </w:style>
  <w:style w:type="character" w:styleId="819">
    <w:name w:val="Endnote Text Char"/>
    <w:link w:val="818"/>
    <w:uiPriority w:val="99"/>
    <w:rPr>
      <w:sz w:val="20"/>
    </w:rPr>
  </w:style>
  <w:style w:type="character" w:styleId="820">
    <w:name w:val="endnote reference"/>
    <w:uiPriority w:val="99"/>
    <w:semiHidden/>
    <w:unhideWhenUsed/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ind w:left="0" w:right="0" w:firstLine="0"/>
      <w:spacing w:after="57"/>
    </w:pPr>
  </w:style>
  <w:style w:type="paragraph" w:styleId="822">
    <w:name w:val="toc 2"/>
    <w:basedOn w:val="832"/>
    <w:next w:val="832"/>
    <w:uiPriority w:val="39"/>
    <w:unhideWhenUsed/>
    <w:pPr>
      <w:ind w:left="283" w:right="0" w:firstLine="0"/>
      <w:spacing w:after="57"/>
    </w:pPr>
  </w:style>
  <w:style w:type="paragraph" w:styleId="823">
    <w:name w:val="toc 3"/>
    <w:basedOn w:val="832"/>
    <w:next w:val="832"/>
    <w:uiPriority w:val="39"/>
    <w:unhideWhenUsed/>
    <w:pPr>
      <w:ind w:left="567" w:right="0" w:firstLine="0"/>
      <w:spacing w:after="57"/>
    </w:pPr>
  </w:style>
  <w:style w:type="paragraph" w:styleId="824">
    <w:name w:val="toc 4"/>
    <w:basedOn w:val="832"/>
    <w:next w:val="832"/>
    <w:uiPriority w:val="39"/>
    <w:unhideWhenUsed/>
    <w:pPr>
      <w:ind w:left="850" w:right="0" w:firstLine="0"/>
      <w:spacing w:after="57"/>
    </w:pPr>
  </w:style>
  <w:style w:type="paragraph" w:styleId="825">
    <w:name w:val="toc 5"/>
    <w:basedOn w:val="832"/>
    <w:next w:val="832"/>
    <w:uiPriority w:val="39"/>
    <w:unhideWhenUsed/>
    <w:pPr>
      <w:ind w:left="1134" w:right="0" w:firstLine="0"/>
      <w:spacing w:after="57"/>
    </w:pPr>
  </w:style>
  <w:style w:type="paragraph" w:styleId="826">
    <w:name w:val="toc 6"/>
    <w:basedOn w:val="832"/>
    <w:next w:val="832"/>
    <w:uiPriority w:val="39"/>
    <w:unhideWhenUsed/>
    <w:pPr>
      <w:ind w:left="1417" w:right="0" w:firstLine="0"/>
      <w:spacing w:after="57"/>
    </w:pPr>
  </w:style>
  <w:style w:type="paragraph" w:styleId="827">
    <w:name w:val="toc 7"/>
    <w:basedOn w:val="832"/>
    <w:next w:val="832"/>
    <w:uiPriority w:val="39"/>
    <w:unhideWhenUsed/>
    <w:pPr>
      <w:ind w:left="1701" w:right="0" w:firstLine="0"/>
      <w:spacing w:after="57"/>
    </w:pPr>
  </w:style>
  <w:style w:type="paragraph" w:styleId="828">
    <w:name w:val="toc 8"/>
    <w:basedOn w:val="832"/>
    <w:next w:val="832"/>
    <w:uiPriority w:val="39"/>
    <w:unhideWhenUsed/>
    <w:pPr>
      <w:ind w:left="1984" w:right="0" w:firstLine="0"/>
      <w:spacing w:after="57"/>
    </w:pPr>
  </w:style>
  <w:style w:type="paragraph" w:styleId="829">
    <w:name w:val="toc 9"/>
    <w:basedOn w:val="832"/>
    <w:next w:val="832"/>
    <w:uiPriority w:val="39"/>
    <w:unhideWhenUsed/>
    <w:pPr>
      <w:ind w:left="2268" w:right="0" w:firstLine="0"/>
      <w:spacing w:after="57"/>
    </w:pPr>
  </w:style>
  <w:style w:type="paragraph" w:styleId="830">
    <w:name w:val="TOC Heading"/>
    <w:uiPriority w:val="39"/>
    <w:unhideWhenUsed/>
  </w:style>
  <w:style w:type="paragraph" w:styleId="831">
    <w:name w:val="table of figures"/>
    <w:basedOn w:val="832"/>
    <w:next w:val="832"/>
    <w:uiPriority w:val="99"/>
    <w:unhideWhenUsed/>
    <w:pPr>
      <w:spacing w:after="0" w:afterAutospacing="0"/>
    </w:pPr>
  </w:style>
  <w:style w:type="paragraph" w:styleId="832" w:default="1">
    <w:name w:val="Normal"/>
    <w:next w:val="832"/>
    <w:link w:val="832"/>
    <w:rPr>
      <w:sz w:val="24"/>
      <w:szCs w:val="24"/>
      <w:lang w:val="ru-RU" w:eastAsia="ru-RU" w:bidi="ar-SA"/>
    </w:rPr>
  </w:style>
  <w:style w:type="character" w:styleId="833">
    <w:name w:val="Основной шрифт абзаца"/>
    <w:next w:val="833"/>
    <w:link w:val="832"/>
    <w:semiHidden/>
  </w:style>
  <w:style w:type="table" w:styleId="834">
    <w:name w:val="Обычная таблица"/>
    <w:next w:val="834"/>
    <w:link w:val="832"/>
    <w:semiHidden/>
    <w:tblPr/>
  </w:style>
  <w:style w:type="numbering" w:styleId="835">
    <w:name w:val="Нет списка"/>
    <w:next w:val="835"/>
    <w:link w:val="832"/>
    <w:semiHidden/>
  </w:style>
  <w:style w:type="character" w:styleId="836" w:default="1">
    <w:name w:val="Default Paragraph Font"/>
    <w:uiPriority w:val="1"/>
    <w:semiHidden/>
    <w:unhideWhenUsed/>
  </w:style>
  <w:style w:type="numbering" w:styleId="837" w:default="1">
    <w:name w:val="No List"/>
    <w:uiPriority w:val="99"/>
    <w:semiHidden/>
    <w:unhideWhenUsed/>
  </w:style>
  <w:style w:type="table" w:styleId="838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hyperlink" Target="mailto:press@r35.rosreestr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mov</dc:creator>
  <cp:revision>5</cp:revision>
  <dcterms:created xsi:type="dcterms:W3CDTF">2017-04-21T13:20:00Z</dcterms:created>
  <dcterms:modified xsi:type="dcterms:W3CDTF">2025-06-17T08:06:21Z</dcterms:modified>
  <cp:version>730895</cp:version>
</cp:coreProperties>
</file>