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962650" cy="3248025"/>
            <wp:effectExtent b="0" l="0" r="0" t="0"/>
            <wp:docPr descr="https://www.kdn-krd.ru/upload/resize_cache/iblock/4cc/577_341_2726da1f51768cdadb92c36d7f3f4c69f/%D0%9E%D1%82%20%D0%91%D0%B5%D1%81%D0%BF%D0%B5%D1%87%D0%BD%D0%BE%D1%81%D1%82%D0%B8%20%D0%BD%D0%B0%20%D0%B2%D0%BE%D0%B4%D0%B5%20%D0%904_tn0.jpg" id="1" name="image1.png"/>
            <a:graphic>
              <a:graphicData uri="http://schemas.openxmlformats.org/drawingml/2006/picture">
                <pic:pic>
                  <pic:nvPicPr>
                    <pic:cNvPr descr="https://www.kdn-krd.ru/upload/resize_cache/iblock/4cc/577_341_2726da1f51768cdadb92c36d7f3f4c69f/%D0%9E%D1%82%20%D0%91%D0%B5%D1%81%D0%BF%D0%B5%D1%87%D0%BD%D0%BE%D1%81%D1%82%D0%B8%20%D0%BD%D0%B0%20%D0%B2%D0%BE%D0%B4%D0%B5%20%D0%904_tn0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248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Уважаемые родители!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Комиссия по делам несовершеннолетних и защите их прав при администрации муниципального образования Новокубанский район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ПРЕДУПРЕЖДАЕТ!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5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Водоемы муниципального образования Новокубанский район не предназначены для купания.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Купание в необорудованных местах опасно для жизни, может привести к необратимым последствиям.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53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0"/>
          <w:i w:val="0"/>
          <w:smallCaps w:val="0"/>
          <w:strike w:val="0"/>
          <w:color w:val="181819"/>
          <w:sz w:val="30"/>
          <w:szCs w:val="3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10"/>
          <w:sz w:val="30"/>
          <w:szCs w:val="30"/>
          <w:highlight w:val="white"/>
          <w:u w:val="none"/>
          <w:vertAlign w:val="baseline"/>
          <w:rtl w:val="0"/>
        </w:rPr>
        <w:t xml:space="preserve">        Не оставляйте детей без присмотра, не позволяйте им купаться в необорудованных местах.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Безопасность жизни детей зависит только от вас!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Бесконтрольное пребывание несовершеннолетних на водных объектах является основанием для привлечения родителей к административной ответственности по ч.1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 </w:t>
      </w:r>
    </w:p>
    <w:p w:rsidR="00000000" w:rsidDel="00000000" w:rsidP="00000000" w:rsidRDefault="00000000" w:rsidRPr="00000000" w14:paraId="00000007">
      <w:pPr>
        <w:tabs>
          <w:tab w:val="left" w:leader="none" w:pos="6060"/>
        </w:tabs>
        <w:spacing w:after="150" w:line="240" w:lineRule="auto"/>
        <w:jc w:val="center"/>
        <w:rPr>
          <w:rFonts w:ascii="Times New Roman" w:cs="Times New Roman" w:eastAsia="Times New Roman" w:hAnsi="Times New Roman"/>
          <w:i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060"/>
        </w:tabs>
        <w:spacing w:after="150" w:line="240" w:lineRule="auto"/>
        <w:jc w:val="center"/>
        <w:rPr>
          <w:rFonts w:ascii="Times New Roman" w:cs="Times New Roman" w:eastAsia="Times New Roman" w:hAnsi="Times New Roman"/>
          <w:i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060"/>
        </w:tabs>
        <w:spacing w:after="150" w:line="240" w:lineRule="auto"/>
        <w:jc w:val="center"/>
        <w:rPr>
          <w:rFonts w:ascii="Times New Roman" w:cs="Times New Roman" w:eastAsia="Times New Roman" w:hAnsi="Times New Roman"/>
          <w:i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060"/>
        </w:tabs>
        <w:spacing w:after="150" w:line="240" w:lineRule="auto"/>
        <w:rPr>
          <w:rFonts w:ascii="Times New Roman" w:cs="Times New Roman" w:eastAsia="Times New Roman" w:hAnsi="Times New Roman"/>
          <w:i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060"/>
        </w:tabs>
        <w:spacing w:after="150" w:line="240" w:lineRule="auto"/>
        <w:jc w:val="center"/>
        <w:rPr>
          <w:rFonts w:ascii="Times New Roman" w:cs="Times New Roman" w:eastAsia="Times New Roman" w:hAnsi="Times New Roman"/>
          <w:i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060"/>
        </w:tabs>
        <w:spacing w:after="150" w:line="240" w:lineRule="auto"/>
        <w:jc w:val="center"/>
        <w:rPr>
          <w:rFonts w:ascii="Times New Roman" w:cs="Times New Roman" w:eastAsia="Times New Roman" w:hAnsi="Times New Roman"/>
          <w:i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Int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