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5531C3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48"/>
          <w:szCs w:val="4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333333"/>
          <w:sz w:val="36"/>
          <w:szCs w:val="36"/>
          <w:u w:val="single"/>
        </w:rPr>
        <w:t>Захват заложников</w:t>
      </w:r>
    </w:p>
    <w:tbl>
      <w:tblPr>
        <w:tblW w:w="15490" w:type="dxa"/>
        <w:tblCellSpacing w:w="22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59"/>
        <w:gridCol w:w="13131"/>
      </w:tblGrid>
      <w:tr w14:paraId="284D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08ACF72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Категория персонала</w:t>
            </w:r>
          </w:p>
        </w:tc>
        <w:tc>
          <w:tcPr>
            <w:tcW w:w="13063" w:type="dxa"/>
            <w:shd w:val="clear" w:color="auto" w:fill="FFFFFF"/>
            <w:vAlign w:val="center"/>
          </w:tcPr>
          <w:p w14:paraId="558B3F8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center"/>
              <w:textAlignment w:val="auto"/>
            </w:pPr>
            <w:bookmarkStart w:id="0" w:name="100327"/>
            <w:bookmarkEnd w:id="0"/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Действия</w:t>
            </w:r>
          </w:p>
        </w:tc>
      </w:tr>
      <w:tr w14:paraId="3D97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0C3F7C5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center"/>
              <w:textAlignment w:val="auto"/>
            </w:pPr>
            <w:bookmarkStart w:id="1" w:name="100328"/>
            <w:bookmarkEnd w:id="1"/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Руководство (руководитель и его заместители)</w:t>
            </w:r>
          </w:p>
        </w:tc>
        <w:tc>
          <w:tcPr>
            <w:tcW w:w="13063" w:type="dxa"/>
            <w:shd w:val="clear" w:color="auto" w:fill="FFFFFF"/>
            <w:vAlign w:val="center"/>
          </w:tcPr>
          <w:p w14:paraId="1CA199E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2" w:name="100329"/>
            <w:bookmarkEnd w:id="2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незамедлительно информировать о происшествии оперативные службы;</w:t>
            </w:r>
          </w:p>
        </w:tc>
      </w:tr>
      <w:tr w14:paraId="21D4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31114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256DBCF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3" w:name="100330"/>
            <w:bookmarkEnd w:id="3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14:paraId="7A2F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02421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09CF0AC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4" w:name="100331"/>
            <w:bookmarkEnd w:id="4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</w:tc>
      </w:tr>
      <w:tr w14:paraId="2D82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210F8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098DE77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5" w:name="100332"/>
            <w:bookmarkEnd w:id="5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</w:tc>
      </w:tr>
      <w:tr w14:paraId="6A58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5F8BF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7593F616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6" w:name="100333"/>
            <w:bookmarkEnd w:id="6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</w:tc>
      </w:tr>
      <w:tr w14:paraId="2DB9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21BD4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3B6B7CC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7" w:name="100334"/>
            <w:bookmarkEnd w:id="7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обеспечить любым доступным способом информирование людей, находящихся в близлежащих к опасной зоны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</w:tc>
      </w:tr>
      <w:tr w14:paraId="7B93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5E347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28AA9BC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8" w:name="100335"/>
            <w:bookmarkEnd w:id="8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по собственной инициативе в переговоры с нарушителем не вступать и иными действиями его не провоцировать;</w:t>
            </w:r>
          </w:p>
        </w:tc>
      </w:tr>
      <w:tr w14:paraId="132A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28CB6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54EBD07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9" w:name="100336"/>
            <w:bookmarkEnd w:id="9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      </w:r>
          </w:p>
        </w:tc>
      </w:tr>
      <w:tr w14:paraId="5F40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67F51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5A1F4C9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10" w:name="100337"/>
            <w:bookmarkEnd w:id="10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14:paraId="249A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27895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200B1B0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11" w:name="100338"/>
            <w:bookmarkEnd w:id="11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 w14:paraId="0452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36BAB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31B7375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12" w:name="100339"/>
            <w:bookmarkEnd w:id="12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обеспечить беспрепятственный доступ к месту происшествия оперативных служб;</w:t>
            </w:r>
          </w:p>
        </w:tc>
      </w:tr>
      <w:tr w14:paraId="4E77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5C67C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78476AC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13" w:name="100340"/>
            <w:bookmarkEnd w:id="13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по прибытии оперативных служб действовать согласно их распоряжениям;</w:t>
            </w:r>
          </w:p>
        </w:tc>
      </w:tr>
      <w:tr w14:paraId="4EE7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2A4EA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4D3EBC7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14" w:name="100341"/>
            <w:bookmarkEnd w:id="14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14:paraId="10E3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5ACB9FF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15" w:name="100342"/>
            <w:bookmarkEnd w:id="15"/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Персонал</w:t>
            </w:r>
          </w:p>
        </w:tc>
        <w:tc>
          <w:tcPr>
            <w:tcW w:w="13063" w:type="dxa"/>
            <w:shd w:val="clear" w:color="auto" w:fill="FFFFFF"/>
            <w:vAlign w:val="center"/>
          </w:tcPr>
          <w:p w14:paraId="6B4D314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16" w:name="100343"/>
            <w:bookmarkEnd w:id="16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</w:tc>
      </w:tr>
      <w:tr w14:paraId="554E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7888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2E34FDF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17" w:name="100344"/>
            <w:bookmarkEnd w:id="17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</w:p>
        </w:tc>
      </w:tr>
      <w:tr w14:paraId="7785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4E060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468763D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18" w:name="100345"/>
            <w:bookmarkEnd w:id="18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</w:tc>
      </w:tr>
      <w:tr w14:paraId="0588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3EA4A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78F2A01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19" w:name="100346"/>
            <w:bookmarkEnd w:id="19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принять меры к прекращению паники и громких разговоров (звуков) в помещении;</w:t>
            </w:r>
          </w:p>
        </w:tc>
      </w:tr>
      <w:tr w14:paraId="3FCA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23155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6B373BA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20" w:name="100347"/>
            <w:bookmarkEnd w:id="20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14:paraId="0ACA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50E0E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3E60608D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21" w:name="100348"/>
            <w:bookmarkEnd w:id="21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</w:tr>
      <w:tr w14:paraId="4E55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229FC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121699F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22" w:name="100349"/>
            <w:bookmarkEnd w:id="22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не допускать общения обучающихся и персонала по любым средствам связи;</w:t>
            </w:r>
          </w:p>
        </w:tc>
      </w:tr>
      <w:tr w14:paraId="7FCC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003FC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196FE9B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23" w:name="100350"/>
            <w:bookmarkEnd w:id="23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обеспечить передачу информации о захвате заложников руководству любым доступным способом при возможности;</w:t>
            </w:r>
          </w:p>
        </w:tc>
      </w:tr>
      <w:tr w14:paraId="3746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71C3D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7B74633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24" w:name="100351"/>
            <w:bookmarkEnd w:id="24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обеспечить информирование оперативных служб любым доступным способом при возможности;</w:t>
            </w:r>
          </w:p>
        </w:tc>
      </w:tr>
      <w:tr w14:paraId="2B10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204D5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6FCDB9E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25" w:name="100352"/>
            <w:bookmarkEnd w:id="25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</w:tr>
      <w:tr w14:paraId="019B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37654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7B44DC3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26" w:name="100353"/>
            <w:bookmarkEnd w:id="26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14:paraId="3CB2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01B3F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3FC5A5C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27" w:name="100354"/>
            <w:bookmarkEnd w:id="27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убедившись в полной эвакуации из помещения при возможности закрыть входы;</w:t>
            </w:r>
          </w:p>
        </w:tc>
      </w:tr>
      <w:tr w14:paraId="0C40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67527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6060770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28" w:name="100355"/>
            <w:bookmarkEnd w:id="28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по указанию руководства осуществить проверку помещений на предмет эвакуации людей, о результатах сообщить руководству;</w:t>
            </w:r>
          </w:p>
        </w:tc>
      </w:tr>
      <w:tr w14:paraId="6006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4730F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4EF0421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29" w:name="100356"/>
            <w:bookmarkEnd w:id="29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по указанию руководства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 w14:paraId="0B08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14658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2CCABEC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30" w:name="100357"/>
            <w:bookmarkEnd w:id="30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обеспечить по указанию руководства передачу обучающихся родителям (законным представителям);</w:t>
            </w:r>
          </w:p>
        </w:tc>
      </w:tr>
      <w:tr w14:paraId="1BD6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440CA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6E81BF8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31" w:name="100358"/>
            <w:bookmarkEnd w:id="31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</w:tc>
      </w:tr>
      <w:tr w14:paraId="5C10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2F9AA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505B46F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</w:pPr>
            <w:bookmarkStart w:id="32" w:name="100359"/>
            <w:bookmarkEnd w:id="32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во время проведения операции по освобождению:</w:t>
            </w:r>
          </w:p>
          <w:p w14:paraId="049496C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лечь на пол лицом вниз, голову закрыть руками и не двигаться;</w:t>
            </w:r>
          </w:p>
          <w:p w14:paraId="424121B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по возможности держаться подальше от проемов дверей и окон;</w:t>
            </w:r>
          </w:p>
          <w:p w14:paraId="1F78B78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при ранении постараться не двигаться с целью уменьшения потери крови;</w:t>
            </w:r>
          </w:p>
        </w:tc>
      </w:tr>
      <w:tr w14:paraId="693E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42C44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00B56E9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33" w:name="100360"/>
            <w:bookmarkEnd w:id="33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14:paraId="693B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78A8631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34" w:name="100361"/>
            <w:bookmarkEnd w:id="34"/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Обучающиеся</w:t>
            </w:r>
          </w:p>
        </w:tc>
        <w:tc>
          <w:tcPr>
            <w:tcW w:w="13063" w:type="dxa"/>
            <w:shd w:val="clear" w:color="auto" w:fill="FFFFFF"/>
            <w:vAlign w:val="center"/>
          </w:tcPr>
          <w:p w14:paraId="786BA28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35" w:name="100362"/>
            <w:bookmarkEnd w:id="35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</w:tc>
      </w:tr>
      <w:tr w14:paraId="3AAC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2263C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1E518CB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36" w:name="100363"/>
            <w:bookmarkEnd w:id="36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14:paraId="0AF8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058AB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1CBAB12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</w:pPr>
            <w:bookmarkStart w:id="37" w:name="100364"/>
            <w:bookmarkEnd w:id="37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</w:t>
            </w:r>
          </w:p>
          <w:p w14:paraId="4C14524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переключить средства связи в бесшумный режим либо выключить их;</w:t>
            </w:r>
          </w:p>
        </w:tc>
      </w:tr>
      <w:tr w14:paraId="647A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191F3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37E7087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</w:pPr>
            <w:bookmarkStart w:id="38" w:name="100365"/>
            <w:bookmarkEnd w:id="38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оказать помощь и поддержку другим обучающимся только по указанию работника организации;</w:t>
            </w:r>
          </w:p>
          <w:p w14:paraId="687430C3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 w14:paraId="3CE2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20599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57288EC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</w:pPr>
            <w:bookmarkStart w:id="39" w:name="100366"/>
            <w:bookmarkEnd w:id="39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во время проведения операции по освобождению:</w:t>
            </w:r>
          </w:p>
          <w:p w14:paraId="79832AE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лечь на пол лицом вниз, голову закрыть руками и не двигаться;</w:t>
            </w:r>
          </w:p>
          <w:p w14:paraId="2E05642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по возможности держаться подальше от проемов дверей и окон;</w:t>
            </w:r>
          </w:p>
          <w:p w14:paraId="793AA9E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tLeast"/>
              <w:jc w:val="both"/>
              <w:textAlignment w:val="auto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при ранении постараться не двигаться с целью уменьшения потери крови;</w:t>
            </w:r>
          </w:p>
          <w:p w14:paraId="04D2280C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14:paraId="314B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4CE07034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40" w:name="100367"/>
            <w:bookmarkEnd w:id="40"/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Работники охранной организации</w:t>
            </w:r>
          </w:p>
        </w:tc>
        <w:tc>
          <w:tcPr>
            <w:tcW w:w="13063" w:type="dxa"/>
            <w:shd w:val="clear" w:color="auto" w:fill="FFFFFF"/>
            <w:vAlign w:val="center"/>
          </w:tcPr>
          <w:p w14:paraId="7B4507CA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41" w:name="100368"/>
            <w:bookmarkEnd w:id="41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14:paraId="127B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001C2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4E4C6CFF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42" w:name="100369"/>
            <w:bookmarkEnd w:id="42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</w:tc>
      </w:tr>
      <w:tr w14:paraId="06AA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4E80D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77823AF9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43" w:name="100370"/>
            <w:bookmarkEnd w:id="43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14:paraId="1DD3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484CA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510B9FF1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44" w:name="100371"/>
            <w:bookmarkEnd w:id="44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</w:tc>
      </w:tr>
      <w:tr w14:paraId="738D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7CF7D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1E258B5B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45" w:name="100372"/>
            <w:bookmarkEnd w:id="45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систему оповещения не использовать;</w:t>
            </w:r>
          </w:p>
        </w:tc>
      </w:tr>
      <w:tr w14:paraId="01DD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1AEAD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3C72733E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46" w:name="100373"/>
            <w:bookmarkEnd w:id="46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обеспечить открытие и доступность коридоров и эвакуационных выходов;</w:t>
            </w:r>
          </w:p>
        </w:tc>
      </w:tr>
      <w:tr w14:paraId="6111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0BAED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5487DFA5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47" w:name="100374"/>
            <w:bookmarkEnd w:id="47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осуществлять контроль за проведением эвакуации людей в соответствии с планом эвакуации;</w:t>
            </w:r>
          </w:p>
        </w:tc>
      </w:tr>
      <w:tr w14:paraId="3FE3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53E04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1B6E66D0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48" w:name="100375"/>
            <w:bookmarkEnd w:id="48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обеспечить беспрепятственный доступ оперативных служб к месту происшествия;</w:t>
            </w:r>
          </w:p>
        </w:tc>
      </w:tr>
      <w:tr w14:paraId="29EB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7C78D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6ACCF1A8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49" w:name="100376"/>
            <w:bookmarkEnd w:id="49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находиться на объекте до прибытия оперативных служб и в дальнейшем действовать в соответствии с указаниями руководства;</w:t>
            </w:r>
          </w:p>
        </w:tc>
      </w:tr>
      <w:tr w14:paraId="7694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</w:trPr>
        <w:tc>
          <w:tcPr>
            <w:tcW w:w="2293" w:type="dxa"/>
            <w:shd w:val="clear" w:color="auto" w:fill="FFFFFF"/>
            <w:vAlign w:val="center"/>
          </w:tcPr>
          <w:p w14:paraId="7B4CF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textAlignment w:val="auto"/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3063" w:type="dxa"/>
            <w:shd w:val="clear" w:color="auto" w:fill="FFFFFF"/>
            <w:vAlign w:val="center"/>
          </w:tcPr>
          <w:p w14:paraId="5DF9BD77">
            <w:pPr>
              <w:pStyle w:val="9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both"/>
              <w:textAlignment w:val="auto"/>
            </w:pPr>
            <w:bookmarkStart w:id="50" w:name="100377"/>
            <w:bookmarkEnd w:id="50"/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14:paraId="3EFE95C7">
      <w:pPr>
        <w:rPr>
          <w:lang w:val="en-US"/>
        </w:rPr>
      </w:pPr>
      <w:bookmarkStart w:id="51" w:name="_GoBack"/>
      <w:bookmarkEnd w:id="51"/>
    </w:p>
    <w:sectPr>
      <w:pgSz w:w="16838" w:h="11906" w:orient="landscape"/>
      <w:pgMar w:top="720" w:right="720" w:bottom="720" w:left="72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74924F8"/>
    <w:rsid w:val="2AE368C1"/>
    <w:rsid w:val="3D2E204C"/>
    <w:rsid w:val="5CCF300B"/>
    <w:rsid w:val="6951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spacing w:before="0" w:beforeAutospacing="1" w:after="0" w:afterAutospacing="0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footnote reference"/>
    <w:basedOn w:val="11"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uiPriority w:val="0"/>
    <w:rPr>
      <w:i/>
      <w:iCs/>
    </w:rPr>
  </w:style>
  <w:style w:type="character" w:styleId="26">
    <w:name w:val="HTML Variable"/>
    <w:basedOn w:val="11"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uiPriority w:val="0"/>
    <w:pPr>
      <w:spacing w:before="0" w:beforeAutospacing="1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2025-02-17T06:58:00Z</dcterms:created>
  <dc:creator>Админ</dc:creator>
  <cp:lastModifiedBy>Админ</cp:lastModifiedBy>
  <cp:lastPrinted>2025-10-15T17:12:48Z</cp:lastPrinted>
  <dcterms:modified xsi:type="dcterms:W3CDTF">2025-10-15T17:13:39Z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A131169EB60C41969B9925BE44364E04_12</vt:lpwstr>
  </property>
</Properties>
</file>