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Краткая презентация Программы</w:t>
      </w:r>
      <w:r>
        <w:rPr>
          <w:b/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33600" cy="1453182"/>
                <wp:effectExtent l="19050" t="0" r="0" b="0"/>
                <wp:docPr id="1" name="Рисунок 12" descr="C:\Users\Pasha\Desktop\fop_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 descr="C:\Users\Pasha\Desktop\fop_do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39795" cy="1457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68.00pt;height:114.42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24"/>
          <w:szCs w:val="24"/>
        </w:rPr>
      </w:r>
    </w:p>
    <w:p>
      <w:pPr>
        <w:jc w:val="center"/>
        <w:shd w:val="clear" w:color="auto" w:fill="ffffff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</w:r>
      <w:r>
        <w:rPr>
          <w:b/>
          <w:color w:val="000000"/>
          <w:sz w:val="24"/>
          <w:szCs w:val="24"/>
          <w:shd w:val="clear" w:color="auto" w:fill="ffffff"/>
        </w:rPr>
      </w:r>
    </w:p>
    <w:p>
      <w:pPr>
        <w:jc w:val="center"/>
        <w:shd w:val="clear" w:color="auto" w:fill="ffffff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 xml:space="preserve">Уважаемые родители!</w:t>
      </w:r>
      <w:r>
        <w:rPr>
          <w:b/>
          <w:color w:val="000000"/>
          <w:sz w:val="24"/>
          <w:szCs w:val="24"/>
          <w:shd w:val="clear" w:color="auto" w:fill="ffffff"/>
        </w:rPr>
      </w:r>
    </w:p>
    <w:p>
      <w:pPr>
        <w:jc w:val="center"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С 1 сентября 2023 года в соответствии с Приказом Министерства П</w:t>
      </w:r>
      <w:r>
        <w:rPr>
          <w:sz w:val="24"/>
          <w:szCs w:val="24"/>
        </w:rPr>
        <w:t xml:space="preserve">росвещения Российской Федерации от 25 ноября 2022 г. № 1028 "Об Утверждении Федеральной образовательной программы дошкольного образования" дошкольные образовательные учреждения начнут работать по новой федеральной образовательной программе (ФОП ДО). Федера</w:t>
      </w:r>
      <w:r>
        <w:rPr>
          <w:sz w:val="24"/>
          <w:szCs w:val="24"/>
        </w:rPr>
        <w:t xml:space="preserve">льная образовательная программа дошкольного образования (ФОП ДО) вводит базовый уровень требований к объему, содержанию и результатам работы с детьми в детских садах и позволяет реализовать несколько основополагающих функций дошкольного уровня образования:</w:t>
      </w:r>
      <w:r>
        <w:rPr>
          <w:sz w:val="24"/>
          <w:szCs w:val="24"/>
        </w:rPr>
      </w:r>
    </w:p>
    <w:p>
      <w:pPr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</w:t>
      </w:r>
      <w:r>
        <w:rPr>
          <w:sz w:val="24"/>
          <w:szCs w:val="24"/>
        </w:rPr>
      </w:r>
    </w:p>
    <w:p>
      <w:pPr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создание единого ядра содержания дошкольного образов</w:t>
      </w:r>
      <w:r>
        <w:rPr>
          <w:sz w:val="24"/>
          <w:szCs w:val="24"/>
        </w:rPr>
        <w:t xml:space="preserve">ания (далее –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  <w:r>
        <w:rPr>
          <w:sz w:val="24"/>
          <w:szCs w:val="24"/>
        </w:rPr>
      </w:r>
    </w:p>
    <w:p>
      <w:pPr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создание единого федерального</w:t>
      </w:r>
      <w:r>
        <w:rPr>
          <w:sz w:val="24"/>
          <w:szCs w:val="24"/>
        </w:rPr>
        <w:t xml:space="preserve">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проживания.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Федеральная программа позволит объединить обучение и воспитание в единый процесс на основе традиций и современных практик дошкольного образования, подкрепленных внушительным объемом культурных ценностей.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Возрастные  и иные категории детей, на которых ориентирована Программа:</w:t>
      </w:r>
      <w:r>
        <w:rPr>
          <w:sz w:val="24"/>
          <w:szCs w:val="24"/>
        </w:rPr>
      </w:r>
    </w:p>
    <w:p>
      <w:pPr>
        <w:pStyle w:val="646"/>
        <w:jc w:val="both"/>
        <w:rPr>
          <w:szCs w:val="24"/>
        </w:rPr>
      </w:pPr>
      <w:r>
        <w:rPr>
          <w:szCs w:val="24"/>
        </w:rPr>
        <w:t xml:space="preserve">«</w:t>
      </w:r>
      <w:r>
        <w:rPr>
          <w:szCs w:val="24"/>
        </w:rPr>
        <w:t xml:space="preserve">О</w:t>
      </w:r>
      <w:r>
        <w:rPr>
          <w:szCs w:val="24"/>
        </w:rPr>
        <w:t xml:space="preserve">бразовательная программа дошкольного образования</w:t>
      </w:r>
      <w:r>
        <w:rPr>
          <w:szCs w:val="24"/>
        </w:rPr>
        <w:t xml:space="preserve">» </w:t>
      </w:r>
      <w:r>
        <w:rPr>
          <w:szCs w:val="24"/>
        </w:rPr>
        <w:t xml:space="preserve">предназн</w:t>
      </w:r>
      <w:r>
        <w:rPr>
          <w:szCs w:val="24"/>
        </w:rPr>
        <w:t xml:space="preserve">ачена, </w:t>
      </w:r>
      <w:r>
        <w:rPr>
          <w:szCs w:val="24"/>
        </w:rPr>
        <w:t xml:space="preserve">для</w:t>
      </w:r>
      <w:r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szCs w:val="24"/>
        </w:rPr>
        <w:t xml:space="preserve">работы с детьми от </w:t>
      </w:r>
      <w:r>
        <w:rPr>
          <w:szCs w:val="24"/>
        </w:rPr>
        <w:t xml:space="preserve">2 </w:t>
      </w:r>
      <w:r>
        <w:rPr>
          <w:szCs w:val="24"/>
        </w:rPr>
        <w:t xml:space="preserve">до 8 лет. Предельная н</w:t>
      </w:r>
      <w:r>
        <w:rPr>
          <w:szCs w:val="24"/>
        </w:rPr>
        <w:t xml:space="preserve">аполняемость групп 20 ребёнка: г</w:t>
      </w:r>
      <w:r>
        <w:rPr>
          <w:szCs w:val="24"/>
        </w:rPr>
        <w:t xml:space="preserve">руппы укомплектованы разновозрастному принципу </w:t>
      </w:r>
      <w:r>
        <w:rPr>
          <w:szCs w:val="24"/>
        </w:rPr>
        <w:t xml:space="preserve">С</w:t>
      </w:r>
      <w:r>
        <w:rPr>
          <w:szCs w:val="24"/>
        </w:rPr>
        <w:t xml:space="preserve">рок освоения программы – </w:t>
      </w:r>
      <w:r>
        <w:rPr>
          <w:szCs w:val="24"/>
        </w:rPr>
        <w:t xml:space="preserve">6</w:t>
      </w:r>
      <w:r>
        <w:rPr>
          <w:szCs w:val="24"/>
        </w:rPr>
        <w:t xml:space="preserve"> лет.</w:t>
      </w:r>
      <w:r>
        <w:rPr>
          <w:szCs w:val="24"/>
        </w:rPr>
        <w:t xml:space="preserve"> В детском саду с 01.09.2024 года </w:t>
      </w:r>
      <w:r>
        <w:rPr>
          <w:szCs w:val="24"/>
        </w:rPr>
        <w:t xml:space="preserve">Пр</w:t>
      </w:r>
      <w:r>
        <w:rPr>
          <w:szCs w:val="24"/>
        </w:rPr>
        <w:t xml:space="preserve">ограмма реализуется в</w:t>
      </w:r>
      <w:r>
        <w:rPr>
          <w:szCs w:val="24"/>
        </w:rPr>
        <w:t xml:space="preserve"> группах:</w:t>
      </w:r>
      <w:r>
        <w:rPr>
          <w:szCs w:val="24"/>
        </w:rPr>
      </w:r>
    </w:p>
    <w:p>
      <w:pPr>
        <w:numPr>
          <w:ilvl w:val="0"/>
          <w:numId w:val="2"/>
        </w:numPr>
        <w:ind w:left="360"/>
        <w:jc w:val="both"/>
        <w:shd w:val="clear" w:color="auto" w:fill="ffffff"/>
        <w:tabs>
          <w:tab w:val="left" w:pos="720" w:leader="none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Для детей 2-8 лет          </w:t>
      </w:r>
      <w:r>
        <w:rPr>
          <w:b/>
          <w:sz w:val="24"/>
          <w:szCs w:val="24"/>
        </w:rPr>
      </w:r>
    </w:p>
    <w:p>
      <w:pPr>
        <w:ind w:hanging="180"/>
        <w:jc w:val="both"/>
        <w:shd w:val="clear" w:color="auto" w:fill="ffffff"/>
        <w:tabs>
          <w:tab w:val="left" w:pos="542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</w:r>
      <w:r>
        <w:rPr>
          <w:sz w:val="24"/>
          <w:szCs w:val="24"/>
        </w:rPr>
        <w:t xml:space="preserve">Программа направлена на р</w:t>
      </w:r>
      <w:r>
        <w:rPr>
          <w:sz w:val="24"/>
          <w:szCs w:val="24"/>
        </w:rPr>
        <w:t xml:space="preserve">азностороннее развитие детей с </w:t>
      </w:r>
      <w:r>
        <w:rPr>
          <w:sz w:val="24"/>
          <w:szCs w:val="24"/>
        </w:rPr>
        <w:t xml:space="preserve">2х лет.</w:t>
      </w:r>
      <w:r>
        <w:rPr>
          <w:sz w:val="24"/>
          <w:szCs w:val="24"/>
        </w:rPr>
        <w:t xml:space="preserve"> до 8</w:t>
      </w:r>
      <w:r>
        <w:rPr>
          <w:sz w:val="24"/>
          <w:szCs w:val="24"/>
        </w:rPr>
        <w:t xml:space="preserve"> лет с учетом их возрастных и индивидуальных особенностей, в том числе достижение детьми дошкольного возраста</w:t>
      </w:r>
      <w:r>
        <w:rPr>
          <w:sz w:val="24"/>
          <w:szCs w:val="24"/>
        </w:rPr>
        <w:t xml:space="preserve">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.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 взаимодействия педагогического коллектива </w:t>
      </w:r>
      <w:r>
        <w:rPr>
          <w:sz w:val="24"/>
          <w:szCs w:val="24"/>
        </w:rPr>
        <w:t xml:space="preserve">ДОУ с семьёй заключается в обеспечении разносторонней поддержки воспитательного потенциала семьи, помощи </w:t>
      </w:r>
      <w:r>
        <w:rPr>
          <w:sz w:val="24"/>
          <w:szCs w:val="24"/>
        </w:rPr>
        <w:t xml:space="preserve">родителям (законным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представителям) в</w:t>
      </w:r>
      <w:r>
        <w:rPr>
          <w:sz w:val="24"/>
          <w:szCs w:val="24"/>
        </w:rPr>
        <w:t xml:space="preserve"> осознании самоценности дошкольного периода детства как базиса для всей последующей жизни человека. </w:t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 </w:t>
      </w:r>
      <w:r>
        <w:rPr>
          <w:sz w:val="24"/>
          <w:szCs w:val="24"/>
        </w:rPr>
        <w:t xml:space="preserve">ДОУ </w:t>
      </w:r>
      <w:r>
        <w:rPr>
          <w:sz w:val="24"/>
          <w:szCs w:val="24"/>
        </w:rPr>
        <w:t xml:space="preserve">– оказать</w:t>
      </w:r>
      <w:r>
        <w:rPr>
          <w:sz w:val="24"/>
          <w:szCs w:val="24"/>
        </w:rPr>
        <w:t xml:space="preserve"> посильную помощь родителям в п</w:t>
      </w:r>
      <w:r>
        <w:rPr>
          <w:sz w:val="24"/>
          <w:szCs w:val="24"/>
        </w:rPr>
        <w:t xml:space="preserve">роцессе воспитания и </w:t>
      </w:r>
      <w:r>
        <w:rPr>
          <w:sz w:val="24"/>
          <w:szCs w:val="24"/>
        </w:rPr>
        <w:t xml:space="preserve">развития детей</w:t>
      </w:r>
      <w:r>
        <w:rPr>
          <w:sz w:val="24"/>
          <w:szCs w:val="24"/>
        </w:rPr>
        <w:t xml:space="preserve">, сделав их своими партнёрами в общем деле.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Взаимодействие с родителями (законными представителями) по вопросам образования ребёнка происходит через непосредственное вовлечение их в образовательную </w:t>
      </w:r>
      <w:r>
        <w:rPr>
          <w:sz w:val="24"/>
          <w:szCs w:val="24"/>
        </w:rPr>
        <w:t xml:space="preserve">и воспитательную </w:t>
      </w:r>
      <w:r>
        <w:rPr>
          <w:sz w:val="24"/>
          <w:szCs w:val="24"/>
        </w:rPr>
        <w:t xml:space="preserve">деятельность, 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Принципы руководства взаимодействием общественного и семейного воспитания:</w:t>
      </w:r>
      <w:r>
        <w:rPr>
          <w:sz w:val="24"/>
          <w:szCs w:val="24"/>
          <w:u w:val="single"/>
        </w:rPr>
      </w:r>
    </w:p>
    <w:p>
      <w:pPr>
        <w:numPr>
          <w:ilvl w:val="0"/>
          <w:numId w:val="6"/>
        </w:numPr>
        <w:ind w:left="0"/>
        <w:jc w:val="both"/>
        <w:tabs>
          <w:tab w:val="left" w:pos="72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ценностного отношения к детству как части духовной жизни семьи, что является источником развития и ребёнка, и взрослого;</w:t>
      </w:r>
      <w:r>
        <w:rPr>
          <w:sz w:val="24"/>
          <w:szCs w:val="24"/>
        </w:rPr>
      </w:r>
    </w:p>
    <w:p>
      <w:pPr>
        <w:numPr>
          <w:ilvl w:val="0"/>
          <w:numId w:val="6"/>
        </w:numPr>
        <w:ind w:left="0"/>
        <w:jc w:val="both"/>
        <w:tabs>
          <w:tab w:val="left" w:pos="72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деятельностный в</w:t>
      </w:r>
      <w:r>
        <w:rPr>
          <w:sz w:val="24"/>
          <w:szCs w:val="24"/>
        </w:rPr>
        <w:t xml:space="preserve"> отношениях «педагог-семья»;</w:t>
      </w:r>
      <w:r>
        <w:rPr>
          <w:sz w:val="24"/>
          <w:szCs w:val="24"/>
        </w:rPr>
      </w:r>
    </w:p>
    <w:p>
      <w:pPr>
        <w:numPr>
          <w:ilvl w:val="0"/>
          <w:numId w:val="6"/>
        </w:numPr>
        <w:ind w:left="0"/>
        <w:jc w:val="both"/>
        <w:tabs>
          <w:tab w:val="left" w:pos="72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интеграции внешних и внутренних факторов повышения воспитательного потенциала семьи;</w:t>
      </w:r>
      <w:r>
        <w:rPr>
          <w:sz w:val="24"/>
          <w:szCs w:val="24"/>
        </w:rPr>
      </w:r>
    </w:p>
    <w:p>
      <w:pPr>
        <w:numPr>
          <w:ilvl w:val="0"/>
          <w:numId w:val="6"/>
        </w:numPr>
        <w:ind w:left="0"/>
        <w:jc w:val="both"/>
        <w:tabs>
          <w:tab w:val="left" w:pos="72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доверительных отношений в системе «семья - </w:t>
      </w:r>
      <w:r>
        <w:rPr>
          <w:sz w:val="24"/>
          <w:szCs w:val="24"/>
        </w:rPr>
        <w:t xml:space="preserve">ДОУ», включающий готовность сторон доверять компетентности друг друга;</w:t>
      </w:r>
      <w:r>
        <w:rPr>
          <w:sz w:val="24"/>
          <w:szCs w:val="24"/>
        </w:rPr>
      </w:r>
    </w:p>
    <w:p>
      <w:pPr>
        <w:numPr>
          <w:ilvl w:val="0"/>
          <w:numId w:val="6"/>
        </w:numPr>
        <w:ind w:left="0"/>
        <w:jc w:val="both"/>
        <w:tabs>
          <w:tab w:val="left" w:pos="72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разграничение ответственности между педагогом и родителем как партнёрами по общению, каждый из которых несёт персональную долю ответственности в рамках своей социальной роли;</w:t>
      </w:r>
      <w:r>
        <w:rPr>
          <w:sz w:val="24"/>
          <w:szCs w:val="24"/>
        </w:rPr>
      </w:r>
    </w:p>
    <w:p>
      <w:pPr>
        <w:numPr>
          <w:ilvl w:val="0"/>
          <w:numId w:val="6"/>
        </w:numPr>
        <w:ind w:left="0"/>
        <w:jc w:val="both"/>
        <w:tabs>
          <w:tab w:val="left" w:pos="72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комплексности целостное видение воспитательной компетентности </w:t>
      </w:r>
      <w:r>
        <w:rPr>
          <w:sz w:val="24"/>
          <w:szCs w:val="24"/>
        </w:rPr>
        <w:t xml:space="preserve">родителей. -</w:t>
      </w:r>
      <w:r>
        <w:rPr>
          <w:sz w:val="24"/>
          <w:szCs w:val="24"/>
        </w:rPr>
        <w:t xml:space="preserve"> системности связан с упорядоченностью периодов развития воспитательного потенциала семьи от подготовки к будущему родительству к воспитанию его в разных периодах детства.</w:t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  <w:r>
        <w:rPr>
          <w:b/>
          <w:sz w:val="24"/>
          <w:szCs w:val="24"/>
          <w:u w:val="single"/>
        </w:rPr>
      </w:r>
    </w:p>
    <w:p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Формы и активные методы сотрудничества с родителями.</w:t>
      </w:r>
      <w:r>
        <w:rPr>
          <w:b/>
          <w:sz w:val="24"/>
          <w:szCs w:val="24"/>
          <w:u w:val="single"/>
        </w:rPr>
      </w:r>
    </w:p>
    <w:p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  <w:r>
        <w:rPr>
          <w:b/>
          <w:sz w:val="24"/>
          <w:szCs w:val="24"/>
          <w:u w:val="single"/>
        </w:rPr>
      </w:r>
    </w:p>
    <w:tbl>
      <w:tblPr>
        <w:tblW w:w="103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7656"/>
      </w:tblGrid>
      <w:tr>
        <w:tblPrEx/>
        <w:trPr>
          <w:trHeight w:val="9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2" w:type="dxa"/>
            <w:textDirection w:val="lrTb"/>
            <w:noWrap w:val="false"/>
          </w:tcPr>
          <w:p>
            <w:pPr>
              <w:jc w:val="center"/>
              <w:tabs>
                <w:tab w:val="left" w:pos="1338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Функциональное взаимодействие с родителями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6" w:type="dxa"/>
            <w:textDirection w:val="lrTb"/>
            <w:noWrap w:val="false"/>
          </w:tcPr>
          <w:p>
            <w:pPr>
              <w:jc w:val="center"/>
              <w:tabs>
                <w:tab w:val="left" w:pos="1338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Формы взаимодействия с родителями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2" w:type="dxa"/>
            <w:textDirection w:val="lrTb"/>
            <w:noWrap w:val="false"/>
          </w:tcPr>
          <w:p>
            <w:pPr>
              <w:tabs>
                <w:tab w:val="left" w:pos="1338" w:leader="none"/>
              </w:tabs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Нормативно-правовая деятельность</w:t>
            </w: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6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0"/>
              <w:jc w:val="both"/>
              <w:tabs>
                <w:tab w:val="left" w:pos="72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родителей с локальной нормативной базой </w:t>
            </w:r>
            <w:r>
              <w:rPr>
                <w:sz w:val="24"/>
                <w:szCs w:val="24"/>
              </w:rPr>
              <w:t xml:space="preserve">ДОУ;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ind w:left="0"/>
              <w:jc w:val="both"/>
              <w:tabs>
                <w:tab w:val="left" w:pos="72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принятии решений по созданию условий, направленных </w:t>
            </w:r>
            <w:r>
              <w:rPr>
                <w:sz w:val="24"/>
                <w:szCs w:val="24"/>
              </w:rPr>
              <w:t xml:space="preserve">на развитие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ДОУ;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ind w:left="0"/>
              <w:tabs>
                <w:tab w:val="left" w:pos="720" w:leader="none"/>
                <w:tab w:val="left" w:pos="1338" w:leader="none"/>
              </w:tabs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вовлечение семьи в управление </w:t>
            </w:r>
            <w:r>
              <w:rPr>
                <w:sz w:val="24"/>
                <w:szCs w:val="24"/>
              </w:rPr>
              <w:t xml:space="preserve">ДОУ: планирование, организацию образовательного процесса, оценку результата освоения детьми образовательной программы 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2" w:type="dxa"/>
            <w:textDirection w:val="lrTb"/>
            <w:noWrap w:val="false"/>
          </w:tcPr>
          <w:p>
            <w:pPr>
              <w:tabs>
                <w:tab w:val="left" w:pos="133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Информационно-консультативная деятельность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6" w:type="dxa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ind w:left="0"/>
              <w:jc w:val="both"/>
              <w:tabs>
                <w:tab w:val="left" w:pos="72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и формулирование социального заказа родителей, определение приоритетов в содержании образовательного процесса;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8"/>
              </w:numPr>
              <w:ind w:left="0"/>
              <w:jc w:val="both"/>
              <w:tabs>
                <w:tab w:val="left" w:pos="72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анкетирование, опрос родителей;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8"/>
              </w:numPr>
              <w:ind w:left="0"/>
              <w:jc w:val="both"/>
              <w:tabs>
                <w:tab w:val="left" w:pos="72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информационные стенды для родителей;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8"/>
              </w:numPr>
              <w:ind w:left="0"/>
              <w:jc w:val="both"/>
              <w:tabs>
                <w:tab w:val="left" w:pos="72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групповые и индивидуальные консультации;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8"/>
              </w:numPr>
              <w:ind w:left="0"/>
              <w:jc w:val="both"/>
              <w:tabs>
                <w:tab w:val="left" w:pos="72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достижений;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2" w:type="dxa"/>
            <w:textDirection w:val="lrTb"/>
            <w:noWrap w:val="false"/>
          </w:tcPr>
          <w:p>
            <w:pPr>
              <w:tabs>
                <w:tab w:val="left" w:pos="133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Просветительская деятельность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6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0"/>
              <w:tabs>
                <w:tab w:val="left" w:pos="72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лекции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педагогическая гостиная;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9"/>
              </w:numPr>
              <w:ind w:left="0"/>
              <w:tabs>
                <w:tab w:val="left" w:pos="720" w:leader="none"/>
              </w:tabs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конкурсы</w:t>
            </w:r>
            <w:r>
              <w:rPr>
                <w:bCs/>
                <w:iCs/>
                <w:sz w:val="24"/>
                <w:szCs w:val="24"/>
              </w:rPr>
            </w:r>
          </w:p>
          <w:p>
            <w:pPr>
              <w:numPr>
                <w:ilvl w:val="0"/>
                <w:numId w:val="9"/>
              </w:numPr>
              <w:ind w:left="0"/>
              <w:tabs>
                <w:tab w:val="left" w:pos="72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родительские собрания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9"/>
              </w:numPr>
              <w:ind w:left="0"/>
              <w:tabs>
                <w:tab w:val="left" w:pos="72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библиотечка для родителей;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9"/>
              </w:numPr>
              <w:ind w:left="0"/>
              <w:tabs>
                <w:tab w:val="left" w:pos="72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разработка учебных пособий и дидактических игр;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9"/>
              </w:numPr>
              <w:ind w:left="0"/>
              <w:tabs>
                <w:tab w:val="left" w:pos="72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круглые столы, </w:t>
            </w:r>
            <w:r>
              <w:rPr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  <w:t xml:space="preserve"> памятки, </w:t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9"/>
              </w:numPr>
              <w:ind w:left="0"/>
              <w:tabs>
                <w:tab w:val="left" w:pos="720" w:leader="none"/>
              </w:tabs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азмещение информации на сайте </w:t>
            </w:r>
            <w:r>
              <w:rPr>
                <w:sz w:val="24"/>
                <w:szCs w:val="24"/>
              </w:rPr>
              <w:t xml:space="preserve">ДОУ</w:t>
            </w:r>
            <w:r>
              <w:rPr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2" w:type="dxa"/>
            <w:textDirection w:val="lrTb"/>
            <w:noWrap w:val="false"/>
          </w:tcPr>
          <w:p>
            <w:pPr>
              <w:tabs>
                <w:tab w:val="left" w:pos="133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Практико-</w:t>
            </w:r>
            <w:r>
              <w:rPr>
                <w:sz w:val="24"/>
                <w:szCs w:val="24"/>
              </w:rPr>
              <w:t xml:space="preserve">ориентированная методическая</w:t>
            </w:r>
            <w:r>
              <w:rPr>
                <w:sz w:val="24"/>
                <w:szCs w:val="24"/>
              </w:rPr>
              <w:t xml:space="preserve"> деятельность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6" w:type="dxa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ind w:left="0"/>
              <w:tabs>
                <w:tab w:val="left" w:pos="72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открытые показы;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10"/>
              </w:numPr>
              <w:ind w:left="0"/>
              <w:tabs>
                <w:tab w:val="left" w:pos="72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детско-родительские проекты;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10"/>
              </w:numPr>
              <w:ind w:left="0"/>
              <w:tabs>
                <w:tab w:val="left" w:pos="72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выставки;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10"/>
              </w:numPr>
              <w:ind w:left="0"/>
              <w:tabs>
                <w:tab w:val="left" w:pos="72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смотры-конкурсы;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10"/>
              </w:numPr>
              <w:ind w:left="0"/>
              <w:tabs>
                <w:tab w:val="left" w:pos="72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Буккроссинг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2" w:type="dxa"/>
            <w:textDirection w:val="lrTb"/>
            <w:noWrap w:val="false"/>
          </w:tcPr>
          <w:p>
            <w:pPr>
              <w:tabs>
                <w:tab w:val="left" w:pos="133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Культурно-досуговая деятельность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6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0"/>
              <w:tabs>
                <w:tab w:val="left" w:pos="72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физкультурно-спортивные мероприятия; музыкальные праздники,  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11"/>
              </w:numPr>
              <w:ind w:left="0"/>
              <w:tabs>
                <w:tab w:val="left" w:pos="720" w:leader="none"/>
              </w:tabs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экскурсии, игровые семейные конкурсы, викторины, </w:t>
            </w:r>
            <w:r>
              <w:rPr>
                <w:bCs/>
                <w:iCs/>
                <w:sz w:val="24"/>
                <w:szCs w:val="24"/>
              </w:rPr>
              <w:t xml:space="preserve">развлечения  </w:t>
            </w:r>
            <w:r>
              <w:rPr>
                <w:bCs/>
                <w:iCs/>
                <w:sz w:val="24"/>
                <w:szCs w:val="24"/>
              </w:rPr>
            </w:r>
          </w:p>
          <w:p>
            <w:pPr>
              <w:numPr>
                <w:ilvl w:val="0"/>
                <w:numId w:val="11"/>
              </w:numPr>
              <w:ind w:left="0"/>
              <w:tabs>
                <w:tab w:val="left" w:pos="720" w:leader="none"/>
              </w:tabs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2" w:type="dxa"/>
            <w:textDirection w:val="lrTb"/>
            <w:noWrap w:val="false"/>
          </w:tcPr>
          <w:p>
            <w:pPr>
              <w:tabs>
                <w:tab w:val="left" w:pos="133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Индивидуально-ориентированная деятельность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6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ind w:left="0"/>
              <w:tabs>
                <w:tab w:val="left" w:pos="72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конкурсы семейных рисунков;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12"/>
              </w:numPr>
              <w:ind w:left="0"/>
              <w:tabs>
                <w:tab w:val="left" w:pos="72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выставки семейных достижений;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12"/>
              </w:numPr>
              <w:ind w:left="0"/>
              <w:tabs>
                <w:tab w:val="left" w:pos="720" w:leader="none"/>
              </w:tabs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коллективные творческие дела;</w:t>
            </w:r>
            <w:r>
              <w:rPr>
                <w:bCs/>
                <w:iCs/>
                <w:sz w:val="24"/>
                <w:szCs w:val="24"/>
              </w:rPr>
            </w:r>
          </w:p>
          <w:p>
            <w:pPr>
              <w:numPr>
                <w:ilvl w:val="0"/>
                <w:numId w:val="12"/>
              </w:numPr>
              <w:ind w:left="0"/>
              <w:tabs>
                <w:tab w:val="left" w:pos="720" w:leader="none"/>
              </w:tabs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проектная деятельность,</w:t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 выставок детских работ</w:t>
            </w:r>
            <w:r>
              <w:rPr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</w:tbl>
    <w:p>
      <w:pPr>
        <w:jc w:val="center"/>
        <w:widowControl w:val="off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r>
    </w:p>
    <w:p>
      <w:pPr>
        <w:ind w:firstLine="709"/>
        <w:jc w:val="both"/>
        <w:widowControl w:val="off"/>
        <w:rPr>
          <w:rFonts w:ascii="Times New Roman CYR" w:hAnsi="Times New Roman CYR" w:cs="Times New Roman CYR" w:eastAsiaTheme="minorHAnsi"/>
          <w:sz w:val="24"/>
          <w:szCs w:val="24"/>
          <w:lang w:eastAsia="en-US"/>
        </w:rPr>
      </w:pPr>
      <w:r>
        <w:rPr>
          <w:rFonts w:ascii="Times New Roman CYR" w:hAnsi="Times New Roman CYR" w:cs="Times New Roman CYR" w:eastAsiaTheme="minorHAnsi"/>
          <w:sz w:val="24"/>
          <w:szCs w:val="24"/>
          <w:lang w:eastAsia="en-US"/>
        </w:rPr>
        <w:t xml:space="preserve">Содержание образования должно содействовать взаимопониманию и сотрудничес</w:t>
      </w:r>
      <w:r>
        <w:rPr>
          <w:rFonts w:ascii="Times New Roman CYR" w:hAnsi="Times New Roman CYR" w:cs="Times New Roman CYR" w:eastAsiaTheme="minorHAnsi"/>
          <w:sz w:val="24"/>
          <w:szCs w:val="24"/>
          <w:lang w:eastAsia="en-US"/>
        </w:rPr>
        <w:t xml:space="preserve">тву между людьми, народами независимо от расовой, национальной, этнической, религиозной и социальной принадлежности, формированию и развитию личности ребенка в соответствии с принятыми в семье и обществе духовно-нравственными и социокультурными ценностями.</w:t>
      </w:r>
      <w:r>
        <w:rPr>
          <w:rFonts w:ascii="Times New Roman CYR" w:hAnsi="Times New Roman CYR" w:cs="Times New Roman CYR" w:eastAsiaTheme="minorHAnsi"/>
          <w:sz w:val="24"/>
          <w:szCs w:val="24"/>
          <w:lang w:eastAsia="en-US"/>
        </w:rPr>
      </w:r>
    </w:p>
    <w:p>
      <w:pPr>
        <w:widowControl w:val="off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r>
    </w:p>
    <w:p>
      <w:pPr>
        <w:ind w:firstLine="708"/>
        <w:widowControl w:val="off"/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Более полно с 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Федеральной 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программой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дошкольного 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образования можно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ознакомиться по ссылке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           </w:t>
      </w:r>
      <w:hyperlink r:id="rId10" w:tooltip="https://www.garant.ru/products/ipo/prime/doc/405942493/" w:history="1">
        <w:r>
          <w:rPr>
            <w:rStyle w:val="651"/>
            <w:rFonts w:ascii="Times New Roman CYR" w:hAnsi="Times New Roman CYR" w:cs="Times New Roman CYR"/>
            <w:b/>
            <w:bCs/>
            <w:sz w:val="24"/>
            <w:szCs w:val="24"/>
          </w:rPr>
          <w:t xml:space="preserve">https://www.garant.ru/products/ipo/prime/doc/405942493/</w:t>
        </w:r>
      </w:hyperlink>
      <w:r/>
      <w:r/>
    </w:p>
    <w:p>
      <w:pPr>
        <w:widowControl w:val="off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r>
    </w:p>
    <w:p>
      <w:pPr>
        <w:widowControl w:val="off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/>
      <w:bookmarkStart w:id="0" w:name="_GoBack"/>
      <w:r/>
      <w:bookmarkEnd w:id="0"/>
      <w:r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r>
    </w:p>
    <w:sectPr>
      <w:footnotePr/>
      <w:endnotePr/>
      <w:type w:val="nextPage"/>
      <w:pgSz w:w="11906" w:h="16838" w:orient="portrait"/>
      <w:pgMar w:top="1701" w:right="1134" w:bottom="85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/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506030602030204"/>
  </w:font>
  <w:font w:name="Calibri">
    <w:panose1 w:val="020F050202020403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00" w:hanging="360"/>
        <w:tabs>
          <w:tab w:val="num" w:pos="90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0"/>
  </w:num>
  <w:num w:numId="5">
    <w:abstractNumId w:val="0"/>
  </w:num>
  <w:num w:numId="6">
    <w:abstractNumId w:val="3"/>
  </w:num>
  <w:num w:numId="7">
    <w:abstractNumId w:val="4"/>
  </w:num>
  <w:num w:numId="8">
    <w:abstractNumId w:val="6"/>
  </w:num>
  <w:num w:numId="9">
    <w:abstractNumId w:val="12"/>
  </w:num>
  <w:num w:numId="10">
    <w:abstractNumId w:val="5"/>
  </w:num>
  <w:num w:numId="11">
    <w:abstractNumId w:val="7"/>
  </w:num>
  <w:num w:numId="12">
    <w:abstractNumId w:val="13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47"/>
    <w:link w:val="64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5"/>
    <w:next w:val="64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4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5"/>
    <w:next w:val="64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4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5"/>
    <w:next w:val="64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4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5"/>
    <w:next w:val="64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4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5"/>
    <w:next w:val="64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5"/>
    <w:next w:val="64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5"/>
    <w:next w:val="64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4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5"/>
    <w:next w:val="64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5"/>
    <w:next w:val="64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47"/>
    <w:link w:val="34"/>
    <w:uiPriority w:val="10"/>
    <w:rPr>
      <w:sz w:val="48"/>
      <w:szCs w:val="48"/>
    </w:rPr>
  </w:style>
  <w:style w:type="paragraph" w:styleId="36">
    <w:name w:val="Subtitle"/>
    <w:basedOn w:val="645"/>
    <w:next w:val="64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47"/>
    <w:link w:val="36"/>
    <w:uiPriority w:val="11"/>
    <w:rPr>
      <w:sz w:val="24"/>
      <w:szCs w:val="24"/>
    </w:rPr>
  </w:style>
  <w:style w:type="paragraph" w:styleId="38">
    <w:name w:val="Quote"/>
    <w:basedOn w:val="645"/>
    <w:next w:val="64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5"/>
    <w:next w:val="64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47"/>
    <w:link w:val="42"/>
    <w:uiPriority w:val="99"/>
  </w:style>
  <w:style w:type="paragraph" w:styleId="44">
    <w:name w:val="Footer"/>
    <w:basedOn w:val="64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47"/>
    <w:link w:val="44"/>
    <w:uiPriority w:val="99"/>
  </w:style>
  <w:style w:type="paragraph" w:styleId="46">
    <w:name w:val="Caption"/>
    <w:basedOn w:val="645"/>
    <w:next w:val="6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4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7"/>
    <w:uiPriority w:val="99"/>
    <w:unhideWhenUsed/>
    <w:rPr>
      <w:vertAlign w:val="superscript"/>
    </w:rPr>
  </w:style>
  <w:style w:type="paragraph" w:styleId="178">
    <w:name w:val="endnote text"/>
    <w:basedOn w:val="64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7"/>
    <w:uiPriority w:val="99"/>
    <w:semiHidden/>
    <w:unhideWhenUsed/>
    <w:rPr>
      <w:vertAlign w:val="superscript"/>
    </w:rPr>
  </w:style>
  <w:style w:type="paragraph" w:styleId="181">
    <w:name w:val="toc 1"/>
    <w:basedOn w:val="645"/>
    <w:next w:val="64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5"/>
    <w:next w:val="64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5"/>
    <w:next w:val="64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5"/>
    <w:next w:val="64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5"/>
    <w:next w:val="64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5"/>
    <w:next w:val="64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5"/>
    <w:next w:val="64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5"/>
    <w:next w:val="64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5"/>
    <w:next w:val="64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5"/>
    <w:next w:val="645"/>
    <w:uiPriority w:val="99"/>
    <w:unhideWhenUsed/>
    <w:pPr>
      <w:spacing w:after="0" w:afterAutospacing="0"/>
    </w:pPr>
  </w:style>
  <w:style w:type="paragraph" w:styleId="64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46">
    <w:name w:val="Heading 1"/>
    <w:basedOn w:val="645"/>
    <w:next w:val="645"/>
    <w:link w:val="650"/>
    <w:uiPriority w:val="9"/>
    <w:qFormat/>
    <w:pPr>
      <w:jc w:val="center"/>
      <w:keepNext/>
      <w:outlineLvl w:val="0"/>
    </w:pPr>
    <w:rPr>
      <w:sz w:val="24"/>
    </w:rPr>
  </w:style>
  <w:style w:type="character" w:styleId="647" w:default="1">
    <w:name w:val="Default Paragraph Font"/>
    <w:uiPriority w:val="1"/>
    <w:semiHidden/>
    <w:unhideWhenUsed/>
  </w:style>
  <w:style w:type="table" w:styleId="6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9" w:default="1">
    <w:name w:val="No List"/>
    <w:uiPriority w:val="99"/>
    <w:semiHidden/>
    <w:unhideWhenUsed/>
  </w:style>
  <w:style w:type="character" w:styleId="650" w:customStyle="1">
    <w:name w:val="Заголовок 1 Знак"/>
    <w:basedOn w:val="647"/>
    <w:link w:val="646"/>
    <w:uiPriority w:val="9"/>
    <w:rPr>
      <w:rFonts w:ascii="Times New Roman" w:hAnsi="Times New Roman" w:eastAsia="Times New Roman" w:cs="Times New Roman"/>
      <w:sz w:val="24"/>
      <w:szCs w:val="20"/>
    </w:rPr>
  </w:style>
  <w:style w:type="character" w:styleId="651">
    <w:name w:val="Hyperlink"/>
    <w:uiPriority w:val="99"/>
    <w:rPr>
      <w:rFonts w:cs="Times New Roman"/>
      <w:color w:val="0000ff"/>
      <w:u w:val="single"/>
    </w:rPr>
  </w:style>
  <w:style w:type="character" w:styleId="652">
    <w:name w:val="Strong"/>
    <w:qFormat/>
    <w:rPr>
      <w:rFonts w:cs="Times New Roman"/>
      <w:b/>
    </w:rPr>
  </w:style>
  <w:style w:type="paragraph" w:styleId="653">
    <w:name w:val="Normal (Web)"/>
    <w:basedOn w:val="645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654">
    <w:name w:val="Body Text Indent 2"/>
    <w:basedOn w:val="645"/>
    <w:link w:val="655"/>
    <w:uiPriority w:val="99"/>
    <w:pPr>
      <w:ind w:left="283"/>
      <w:spacing w:after="120" w:line="480" w:lineRule="auto"/>
    </w:pPr>
    <w:rPr>
      <w:rFonts w:ascii="Cambria" w:hAnsi="Cambria"/>
      <w:sz w:val="22"/>
      <w:szCs w:val="22"/>
      <w:lang w:val="en-US" w:eastAsia="en-US"/>
    </w:rPr>
  </w:style>
  <w:style w:type="character" w:styleId="655" w:customStyle="1">
    <w:name w:val="Основной текст с отступом 2 Знак"/>
    <w:basedOn w:val="647"/>
    <w:link w:val="654"/>
    <w:uiPriority w:val="99"/>
    <w:rPr>
      <w:rFonts w:ascii="Cambria" w:hAnsi="Cambria" w:eastAsia="Times New Roman" w:cs="Times New Roman"/>
      <w:lang w:val="en-US"/>
    </w:rPr>
  </w:style>
  <w:style w:type="paragraph" w:styleId="656">
    <w:name w:val="List Paragraph"/>
    <w:basedOn w:val="645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657" w:customStyle="1">
    <w:name w:val="Название1"/>
    <w:basedOn w:val="645"/>
    <w:pPr>
      <w:spacing w:before="100" w:beforeAutospacing="1" w:after="100" w:afterAutospacing="1"/>
    </w:pPr>
    <w:rPr>
      <w:sz w:val="24"/>
      <w:szCs w:val="24"/>
    </w:rPr>
  </w:style>
  <w:style w:type="character" w:styleId="658" w:customStyle="1">
    <w:name w:val="стиль141"/>
    <w:rPr>
      <w:b/>
      <w:bCs/>
      <w:color w:val="00cc33"/>
      <w:sz w:val="27"/>
      <w:szCs w:val="27"/>
    </w:rPr>
  </w:style>
  <w:style w:type="paragraph" w:styleId="659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660">
    <w:name w:val="Body Text"/>
    <w:basedOn w:val="645"/>
    <w:link w:val="661"/>
    <w:uiPriority w:val="99"/>
    <w:pPr>
      <w:spacing w:after="120"/>
    </w:pPr>
  </w:style>
  <w:style w:type="character" w:styleId="661" w:customStyle="1">
    <w:name w:val="Основной текст Знак"/>
    <w:basedOn w:val="647"/>
    <w:link w:val="660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662">
    <w:name w:val="FollowedHyperlink"/>
    <w:basedOn w:val="647"/>
    <w:uiPriority w:val="99"/>
    <w:semiHidden/>
    <w:unhideWhenUsed/>
    <w:rPr>
      <w:color w:val="954f72" w:themeColor="followedHyperlink"/>
      <w:u w:val="single"/>
    </w:rPr>
  </w:style>
  <w:style w:type="paragraph" w:styleId="663">
    <w:name w:val="Balloon Text"/>
    <w:basedOn w:val="645"/>
    <w:link w:val="664"/>
    <w:uiPriority w:val="99"/>
    <w:semiHidden/>
    <w:unhideWhenUsed/>
    <w:rPr>
      <w:rFonts w:ascii="Tahoma" w:hAnsi="Tahoma" w:cs="Tahoma"/>
      <w:sz w:val="16"/>
      <w:szCs w:val="16"/>
    </w:rPr>
  </w:style>
  <w:style w:type="character" w:styleId="664" w:customStyle="1">
    <w:name w:val="Текст выноски Знак"/>
    <w:basedOn w:val="647"/>
    <w:link w:val="663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s://www.garant.ru/products/ipo/prime/doc/405942493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Маргарита Юкомзан</cp:lastModifiedBy>
  <cp:revision>3</cp:revision>
  <dcterms:created xsi:type="dcterms:W3CDTF">2024-11-02T03:48:00Z</dcterms:created>
  <dcterms:modified xsi:type="dcterms:W3CDTF">2024-11-02T06:31:47Z</dcterms:modified>
</cp:coreProperties>
</file>