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0256AE3"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Style w:val="T2"/>
        <w:tblW w:w="5000" w:type="pct"/>
        <w:jc w:val="center"/>
        <w:tblCellSpacing w:w="0" w:type="dxa"/>
        <w:tblLayout w:type="autofit"/>
        <w:tblCellMar>
          <w:left w:w="0" w:type="dxa"/>
          <w:right w:w="0" w:type="dxa"/>
        </w:tblCellMar>
      </w:tblPr>
      <w:tblGrid/>
      <w:tr>
        <w:trPr>
          <w:wAfter w:w="0" w:type="dxa"/>
        </w:trPr>
        <w:tc>
          <w:tcPr>
            <w:tcW w:w="5000" w:type="pct"/>
            <w:tcMar>
              <w:top w:w="0" w:type="dxa"/>
              <w:left w:w="150" w:type="dxa"/>
              <w:bottom w:w="0" w:type="dxa"/>
              <w:right w:w="150" w:type="dxa"/>
            </w:tcMar>
          </w:tcPr>
          <w:p>
            <w:pPr>
              <w:pStyle w:val="P1"/>
              <w:spacing w:lineRule="auto" w:line="240" w:after="0"/>
              <w:ind w:firstLine="709"/>
              <w:jc w:val="center"/>
              <w:outlineLvl w:val="0"/>
              <w:rPr>
                <w:rStyle w:val="C3"/>
                <w:rFonts w:ascii="Times New Roman" w:hAnsi="Times New Roman"/>
                <w:b w:val="1"/>
                <w:color w:val="000000"/>
                <w:sz w:val="28"/>
              </w:rPr>
            </w:pPr>
            <w:r>
              <w:rPr>
                <w:rStyle w:val="C3"/>
                <w:rFonts w:ascii="Times New Roman" w:hAnsi="Times New Roman"/>
                <w:b w:val="1"/>
                <w:color w:val="000000"/>
                <w:sz w:val="28"/>
              </w:rPr>
              <w:t xml:space="preserve">ПАМЯТКА </w:t>
            </w:r>
          </w:p>
          <w:p>
            <w:pPr>
              <w:pStyle w:val="P1"/>
              <w:spacing w:lineRule="auto" w:line="240" w:after="0"/>
              <w:ind w:firstLine="709"/>
              <w:jc w:val="center"/>
              <w:outlineLvl w:val="0"/>
              <w:rPr>
                <w:rStyle w:val="C3"/>
                <w:rFonts w:ascii="Times New Roman" w:hAnsi="Times New Roman"/>
                <w:b w:val="1"/>
                <w:color w:val="000000"/>
                <w:sz w:val="28"/>
              </w:rPr>
            </w:pPr>
            <w:r>
              <w:rPr>
                <w:rStyle w:val="C3"/>
                <w:rFonts w:ascii="Times New Roman" w:hAnsi="Times New Roman"/>
                <w:b w:val="1"/>
                <w:color w:val="000000"/>
                <w:sz w:val="28"/>
              </w:rPr>
              <w:t>ПО ПРОФИЛАКТИКЕ ЭКСТРЕМИЗМА</w:t>
            </w:r>
          </w:p>
          <w:p>
            <w:pPr>
              <w:pStyle w:val="P1"/>
              <w:spacing w:lineRule="auto" w:line="240" w:after="0"/>
              <w:ind w:firstLine="709"/>
              <w:jc w:val="center"/>
              <w:rPr>
                <w:rStyle w:val="C3"/>
                <w:rFonts w:ascii="Times New Roman" w:hAnsi="Times New Roman"/>
                <w:color w:val="000000"/>
                <w:sz w:val="28"/>
              </w:rPr>
            </w:pPr>
            <w:r>
              <w:rPr>
                <w:rStyle w:val="C3"/>
                <w:rFonts w:ascii="Times New Roman" w:hAnsi="Times New Roman"/>
                <w:color w:val="000000"/>
                <w:sz w:val="28"/>
              </w:rPr>
              <w:t xml:space="preserve">  </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i w:val="1"/>
                <w:color w:val="000000"/>
                <w:sz w:val="28"/>
              </w:rPr>
              <w:t>Экстремизм</w:t>
            </w:r>
            <w:r>
              <w:rPr>
                <w:rStyle w:val="C3"/>
                <w:rFonts w:ascii="Times New Roman" w:hAnsi="Times New Roman"/>
                <w:color w:val="000000"/>
                <w:sz w:val="28"/>
              </w:rPr>
              <w:t> – это приверженность к крайним взглядам и, в особенности, мерам (обычно в политике). Среди таких мер можно отметить провокацию беспорядков, террористические акции, методы партизанской войны.</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Экстремизм опасен, прежде всего тем, что направлен на разрушение целостности государства и общества, нарушение прав, свобод и законных интересов человека и гражданина.</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 России юридическое определение того, какие действия считаются экстремистскими, содержится в </w:t>
            </w:r>
            <w:r>
              <w:rPr>
                <w:rStyle w:val="C3"/>
                <w:rFonts w:ascii="Times New Roman" w:hAnsi="Times New Roman"/>
                <w:b w:val="1"/>
                <w:color w:val="000000"/>
                <w:sz w:val="28"/>
              </w:rPr>
              <w:t>статье 1 Федерального Закона № 114-ФЗ «О противодействии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 соответствии с данным законом к ним относятся: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насильственное изменение основ конституционного строя и нарушение целостности Российской Федерации;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публичное оправдание терроризма и иная террористическая деятельность;</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возбуждение социальной, расовой, национальной или религиозной розни;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совершение преступлений по мотивам, указанным в пункте «е» части первой статьи 63 Уголовного кодекса Российской Федерации;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организация и подготовка указанных деяний, а также подстрекательство к их осуществлению;</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1.2. Экстремистская организация: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1.3. Экстремистские материалы:</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2. Основные принципы противодействия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2.1. Противодействие экстремистской деятельности основывается на следующих принципах:</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признание, соблюдение и защита прав и свобод человека и гражданина, а равно законных интересов организации;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законность;</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гласность;</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приоритет обеспечения безопасности Российской Федерации;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приоритет мер, направленных на предупреждение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неотвратимость наказания за осуществление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3. Основные направления противодействия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3.1. Противодействие экстремистской деятельности осуществляется по следующим основным направлениям:</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4. Ответственность за осуществление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4.1. Ответственность за распространение экстремистских материалов.</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Одновременно с решением о признании информационных материалов экстремистскими судом принимается решение об их конфискации.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Копия вступившего в законную силу судебного решения о признании информационных материалов экстремистскими направляется в федеральный орган государственной регистрации.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Федеральный список экстремистских материалов подлежит размещению в международной компьютерной сети "Интернет" на сайте федерального органа государственной регистрации. Указанный список также подлежит опубликованию в средствах массовой информации.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4.2. Ответственность должностных лиц, государственных и муниципальных служащих за осуществление ими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4.3. Ответственность граждан Российской Федерации, иностранных граждан и лиц без гражданства за осуществление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5. Запреты и недопущения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5.1. Недопущение использования сетей связи общего пользования для осуществления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Запрещается использование сетей связи общего пользования для осуществления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5.2. Недопущение осуществления экстремистской деятельности при проведении массовых акций</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6. Виды ответственности за осуществление экстремистской деятельности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6.1. Административная ответственность</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Нарушение законодательства о свободе совести, свободе вероисповедания и о религиозных объединениях</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 влечет наложение административного штрафа на граждан в размере от ста до трехсот рублей; на должностных лиц - от трехсот до восьмисот рублей.</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2. Оскорбление религиозных чувств граждан либо осквернение почитаемых ими предметов, знаков и эмблем мировоззренческой символики - влечет наложение административного штрафа на граждан в размере от пятисот до одной тысячи рублей (статья 5.26. Кодекса Российской Федерации об административных правонарушениях).</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Злоупотребление свободой массовой информации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 Кодекса Российской Федерации об административных правонарушениях).</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(статья 20.3. Кодекса Российской Федерации об административных правонарушениях).</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xml:space="preserve">• Организация деятельности общественного или религиозного объединения, в отношении которого принято решение о приостановлении его деятельности. </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 Кодекса Российской Федерации об административных правонарушениях).</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Производство и распространение экстремистских материалов</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 Кодекса Российской Федерации об административных правонарушениях).</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b w:val="1"/>
                <w:color w:val="000000"/>
                <w:sz w:val="28"/>
              </w:rPr>
              <w:t>6.2. Уголовная ответственность</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Обстоятельства, отягчающие наказание</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 Воспрепятствование осуществлению права на свободу совести и вероисповеданий</w:t>
            </w:r>
          </w:p>
          <w:p>
            <w:pPr>
              <w:pStyle w:val="P1"/>
              <w:spacing w:lineRule="auto" w:line="240" w:after="0"/>
              <w:ind w:firstLine="709"/>
              <w:jc w:val="both"/>
              <w:rPr>
                <w:rStyle w:val="C3"/>
                <w:rFonts w:ascii="Times New Roman" w:hAnsi="Times New Roman"/>
                <w:color w:val="000000"/>
                <w:sz w:val="28"/>
              </w:rPr>
            </w:pPr>
            <w:r>
              <w:rPr>
                <w:rStyle w:val="C3"/>
                <w:rFonts w:ascii="Times New Roman" w:hAnsi="Times New Roman"/>
                <w:color w:val="000000"/>
                <w:sz w:val="28"/>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(статья 148 Уголовного кодекса Российской Федерации).</w:t>
            </w:r>
          </w:p>
          <w:p>
            <w:pPr>
              <w:pStyle w:val="P1"/>
              <w:spacing w:lineRule="auto" w:line="240" w:after="0"/>
              <w:ind w:firstLine="709"/>
              <w:jc w:val="both"/>
              <w:rPr>
                <w:rStyle w:val="C3"/>
                <w:rFonts w:ascii="Times New Roman" w:hAnsi="Times New Roman"/>
                <w:color w:val="000000"/>
                <w:sz w:val="28"/>
              </w:rPr>
            </w:pPr>
          </w:p>
        </w:tc>
      </w:tr>
      <w:tr>
        <w:trPr>
          <w:wAfter w:w="0" w:type="dxa"/>
          <w:trHeight w:hRule="atLeast" w:val="45"/>
        </w:trPr>
        <w:tc>
          <w:tcPr>
            <w:tcW w:w="0" w:type="auto"/>
            <w:tcMar>
              <w:top w:w="45" w:type="dxa"/>
              <w:left w:w="0" w:type="dxa"/>
              <w:bottom w:w="45" w:type="dxa"/>
              <w:right w:w="0" w:type="dxa"/>
            </w:tcMar>
            <w:vAlign w:val="bottom"/>
          </w:tcPr>
          <w:tbl>
            <w:tblPr>
              <w:tblStyle w:val="T2"/>
              <w:tblW w:w="0" w:type="auto"/>
              <w:jc w:val="right"/>
              <w:tblCellSpacing w:w="0" w:type="dxa"/>
              <w:tblLayout w:type="autofit"/>
              <w:tblCellMar>
                <w:top w:w="60" w:type="dxa"/>
                <w:left w:w="60" w:type="dxa"/>
                <w:bottom w:w="60" w:type="dxa"/>
                <w:right w:w="60" w:type="dxa"/>
              </w:tblCellMar>
            </w:tblPr>
            <w:tblGrid/>
            <w:tr>
              <w:tc>
                <w:tcPr>
                  <w:tcW w:w="0" w:type="auto"/>
                  <w:vAlign w:val="center"/>
                </w:tcPr>
                <w:p>
                  <w:pPr>
                    <w:pStyle w:val="P1"/>
                    <w:spacing w:lineRule="auto" w:line="240" w:after="0"/>
                    <w:ind w:firstLine="709"/>
                    <w:rPr>
                      <w:rStyle w:val="C3"/>
                      <w:rFonts w:ascii="Times New Roman" w:hAnsi="Times New Roman"/>
                      <w:color w:val="000000"/>
                      <w:sz w:val="28"/>
                    </w:rPr>
                  </w:pPr>
                </w:p>
              </w:tc>
              <w:tc>
                <w:tcPr>
                  <w:tcW w:w="0" w:type="auto"/>
                  <w:vAlign w:val="center"/>
                </w:tcPr>
                <w:p>
                  <w:pPr>
                    <w:pStyle w:val="P1"/>
                    <w:spacing w:lineRule="auto" w:line="240" w:after="0"/>
                    <w:ind w:firstLine="709"/>
                    <w:jc w:val="center"/>
                    <w:rPr>
                      <w:rStyle w:val="C3"/>
                      <w:rFonts w:ascii="Times New Roman" w:hAnsi="Times New Roman"/>
                      <w:color w:val="000000"/>
                      <w:sz w:val="28"/>
                    </w:rPr>
                  </w:pPr>
                </w:p>
              </w:tc>
              <w:tc>
                <w:tcPr>
                  <w:tcW w:w="0" w:type="auto"/>
                  <w:vAlign w:val="center"/>
                </w:tcPr>
                <w:p>
                  <w:pPr>
                    <w:pStyle w:val="P1"/>
                    <w:spacing w:lineRule="auto" w:line="240" w:after="0"/>
                    <w:ind w:firstLine="709"/>
                    <w:jc w:val="center"/>
                    <w:rPr>
                      <w:rStyle w:val="C3"/>
                      <w:rFonts w:ascii="Times New Roman" w:hAnsi="Times New Roman"/>
                      <w:color w:val="000000"/>
                      <w:sz w:val="28"/>
                    </w:rPr>
                  </w:pPr>
                </w:p>
              </w:tc>
              <w:tc>
                <w:tcPr>
                  <w:tcW w:w="0" w:type="auto"/>
                  <w:vAlign w:val="center"/>
                </w:tcPr>
                <w:p>
                  <w:pPr>
                    <w:pStyle w:val="P1"/>
                    <w:spacing w:lineRule="auto" w:line="240" w:after="0"/>
                    <w:ind w:firstLine="709"/>
                    <w:jc w:val="center"/>
                    <w:rPr>
                      <w:rStyle w:val="C3"/>
                      <w:rFonts w:ascii="Times New Roman" w:hAnsi="Times New Roman"/>
                      <w:color w:val="000000"/>
                      <w:sz w:val="28"/>
                    </w:rPr>
                  </w:pPr>
                </w:p>
              </w:tc>
            </w:tr>
          </w:tbl>
          <w:p>
            <w:pPr>
              <w:pStyle w:val="P1"/>
              <w:spacing w:lineRule="auto" w:line="240" w:after="0"/>
              <w:ind w:firstLine="709"/>
              <w:jc w:val="right"/>
              <w:rPr>
                <w:rStyle w:val="C3"/>
                <w:rFonts w:ascii="Times New Roman" w:hAnsi="Times New Roman"/>
                <w:color w:val="000000"/>
                <w:sz w:val="28"/>
              </w:rPr>
            </w:pPr>
          </w:p>
        </w:tc>
      </w:tr>
      <w:tr>
        <w:trPr>
          <w:wAfter w:w="0" w:type="dxa"/>
        </w:trPr>
        <w:tc>
          <w:tcPr>
            <w:tcW w:w="0" w:type="auto"/>
            <w:vAlign w:val="center"/>
          </w:tcPr>
          <w:p>
            <w:pPr>
              <w:pStyle w:val="P1"/>
              <w:spacing w:lineRule="auto" w:line="240" w:after="0"/>
              <w:ind w:firstLine="709"/>
              <w:jc w:val="right"/>
              <w:rPr>
                <w:rStyle w:val="C3"/>
                <w:rFonts w:ascii="Times New Roman" w:hAnsi="Times New Roman"/>
                <w:color w:val="000000"/>
                <w:sz w:val="28"/>
              </w:rPr>
            </w:pPr>
          </w:p>
        </w:tc>
      </w:tr>
    </w:tbl>
    <w:p>
      <w:pPr>
        <w:pStyle w:val="P1"/>
        <w:spacing w:lineRule="auto" w:line="240" w:after="0"/>
        <w:ind w:firstLine="709"/>
        <w:rPr>
          <w:rStyle w:val="C3"/>
          <w:rFonts w:ascii="Times New Roman" w:hAnsi="Times New Roman"/>
          <w:color w:val="000000"/>
          <w:sz w:val="28"/>
        </w:rPr>
      </w:pPr>
    </w:p>
    <w:p>
      <w:pPr>
        <w:pStyle w:val="P1"/>
        <w:spacing w:lineRule="auto" w:line="240" w:after="0"/>
        <w:ind w:firstLine="709"/>
        <w:rPr>
          <w:rStyle w:val="C3"/>
          <w:rFonts w:ascii="Times New Roman" w:hAnsi="Times New Roman"/>
          <w:color w:val="000000"/>
          <w:sz w:val="28"/>
        </w:rPr>
      </w:pPr>
    </w:p>
    <w:p>
      <w:pPr>
        <w:pStyle w:val="P1"/>
        <w:spacing w:lineRule="auto" w:line="240" w:after="0"/>
        <w:ind w:firstLine="709"/>
        <w:rPr>
          <w:rStyle w:val="C3"/>
          <w:rFonts w:ascii="Times New Roman" w:hAnsi="Times New Roman"/>
          <w:color w:val="000000"/>
          <w:sz w:val="28"/>
        </w:rPr>
      </w:pPr>
    </w:p>
    <w:p>
      <w:pPr>
        <w:pStyle w:val="P1"/>
        <w:ind w:firstLine="709"/>
        <w:rPr>
          <w:rStyle w:val="C3"/>
          <w:rFonts w:ascii="Times New Roman" w:hAnsi="Times New Roman"/>
          <w:sz w:val="28"/>
        </w:rPr>
      </w:pP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0"/>
        <w:u w:val="none"/>
        <w:vertAlign w:val="baseline"/>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paragraph" w:styleId="P1">
    <w:name w:val="Обычный"/>
    <w:next w:val="P1"/>
    <w:qFormat/>
    <w:pPr>
      <w:spacing w:lineRule="auto" w:line="259" w:after="160"/>
    </w:pPr>
    <w:rPr>
      <w:sz w:val="22"/>
    </w:rPr>
  </w:style>
  <w:style w:type="paragraph" w:styleId="P2">
    <w:name w:val="Обычный (веб)"/>
    <w:basedOn w:val="P1"/>
    <w:next w:val="P2"/>
    <w:pPr>
      <w:spacing w:lineRule="auto" w:line="240" w:before="30" w:after="30"/>
    </w:pPr>
    <w:rPr>
      <w:rFonts w:ascii="Times New Roman" w:hAnsi="Times New Roman"/>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Основной шрифт абзаца"/>
    <w:rPr/>
  </w:style>
  <w:style w:type="character" w:styleId="C4">
    <w:name w:val="Строгий"/>
    <w:qFormat/>
    <w:rPr>
      <w:b w:val="1"/>
    </w:rPr>
  </w:style>
  <w:style w:type="character" w:styleId="C5">
    <w:name w:val="Гиперссылка"/>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Обычная таблица"/>
    <w:tblPr>
      <w:tblInd w:w="0" w:type="dxa"/>
      <w:tblCellMar>
        <w:top w:w="0" w:type="dxa"/>
        <w:left w:w="108" w:type="dxa"/>
        <w:bottom w:w="0" w:type="dxa"/>
        <w:right w:w="108" w:type="dxa"/>
      </w:tblCellMar>
    </w:tblPr>
    <w:trPr/>
    <w:tcPr/>
  </w:style>
</w:styles>
</file>

<file path=word/_rels/document.xml.rels><?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