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1C" w:rsidRPr="009B4D1C" w:rsidRDefault="009B4D1C" w:rsidP="009B4D1C">
      <w:pPr>
        <w:spacing w:after="0" w:line="240" w:lineRule="auto"/>
        <w:jc w:val="right"/>
        <w:rPr>
          <w:rFonts w:ascii="Times New Roman" w:hAnsi="Times New Roman" w:cs="Times New Roman"/>
          <w:color w:val="000000"/>
          <w:sz w:val="28"/>
          <w:szCs w:val="28"/>
          <w:lang w:eastAsia="ru-RU"/>
        </w:rPr>
      </w:pPr>
      <w:r w:rsidRPr="009B4D1C">
        <w:rPr>
          <w:rFonts w:ascii="Times New Roman" w:hAnsi="Times New Roman" w:cs="Times New Roman"/>
          <w:color w:val="000000"/>
          <w:sz w:val="28"/>
          <w:szCs w:val="28"/>
          <w:lang w:eastAsia="ru-RU"/>
        </w:rPr>
        <w:t>Приложение  к приказу</w:t>
      </w:r>
    </w:p>
    <w:p w:rsidR="009B4D1C" w:rsidRPr="009B4D1C" w:rsidRDefault="009B4D1C" w:rsidP="009B4D1C">
      <w:pPr>
        <w:pStyle w:val="a5"/>
        <w:spacing w:beforeAutospacing="0" w:afterAutospacing="0"/>
        <w:ind w:left="6349"/>
        <w:contextualSpacing/>
        <w:jc w:val="both"/>
        <w:rPr>
          <w:sz w:val="28"/>
          <w:szCs w:val="28"/>
          <w:lang w:val="ru-RU"/>
        </w:rPr>
      </w:pPr>
      <w:r w:rsidRPr="009B4D1C">
        <w:rPr>
          <w:color w:val="000000"/>
          <w:sz w:val="28"/>
          <w:szCs w:val="28"/>
          <w:lang w:val="ru-RU" w:eastAsia="ru-RU"/>
        </w:rPr>
        <w:t>№150-од от 27.12.2022 г.</w:t>
      </w:r>
      <w:r w:rsidRPr="009B4D1C">
        <w:rPr>
          <w:sz w:val="28"/>
          <w:szCs w:val="28"/>
          <w:lang w:val="ru-RU"/>
        </w:rPr>
        <w:t xml:space="preserve"> </w:t>
      </w:r>
    </w:p>
    <w:p w:rsidR="009B4D1C" w:rsidRDefault="009B4D1C" w:rsidP="009B4D1C">
      <w:pPr>
        <w:spacing w:after="0" w:line="240" w:lineRule="auto"/>
        <w:jc w:val="center"/>
        <w:outlineLvl w:val="1"/>
        <w:rPr>
          <w:rFonts w:ascii="Times New Roman" w:eastAsia="Times New Roman" w:hAnsi="Times New Roman" w:cs="Times New Roman"/>
          <w:b/>
          <w:bCs/>
          <w:iCs/>
          <w:color w:val="000000"/>
          <w:sz w:val="28"/>
          <w:szCs w:val="28"/>
          <w:lang w:eastAsia="ru-RU"/>
        </w:rPr>
      </w:pPr>
    </w:p>
    <w:p w:rsidR="00F73061" w:rsidRPr="005D4A96" w:rsidRDefault="008F6F1A" w:rsidP="005D4A96">
      <w:pPr>
        <w:spacing w:after="0" w:line="240" w:lineRule="auto"/>
        <w:jc w:val="center"/>
        <w:outlineLvl w:val="1"/>
        <w:rPr>
          <w:rFonts w:ascii="Times New Roman" w:eastAsia="Times New Roman" w:hAnsi="Times New Roman" w:cs="Times New Roman"/>
          <w:b/>
          <w:bCs/>
          <w:iCs/>
          <w:color w:val="000000"/>
          <w:sz w:val="28"/>
          <w:szCs w:val="28"/>
          <w:lang w:eastAsia="ru-RU"/>
        </w:rPr>
      </w:pPr>
      <w:r w:rsidRPr="005D4A96">
        <w:rPr>
          <w:rFonts w:ascii="Times New Roman" w:eastAsia="Times New Roman" w:hAnsi="Times New Roman" w:cs="Times New Roman"/>
          <w:b/>
          <w:bCs/>
          <w:iCs/>
          <w:color w:val="000000"/>
          <w:sz w:val="28"/>
          <w:szCs w:val="28"/>
          <w:lang w:eastAsia="ru-RU"/>
        </w:rPr>
        <w:t>Учетная политика для целей налогового учета </w:t>
      </w:r>
    </w:p>
    <w:p w:rsidR="008F6F1A" w:rsidRPr="008F6F1A" w:rsidRDefault="008F6F1A" w:rsidP="008F6F1A">
      <w:pPr>
        <w:spacing w:before="100" w:beforeAutospacing="1" w:after="100" w:afterAutospacing="1" w:line="240" w:lineRule="auto"/>
        <w:jc w:val="center"/>
        <w:outlineLvl w:val="1"/>
        <w:rPr>
          <w:rFonts w:ascii="Times New Roman" w:eastAsia="Times New Roman" w:hAnsi="Times New Roman" w:cs="Times New Roman"/>
          <w:b/>
          <w:bCs/>
          <w:i/>
          <w:iCs/>
          <w:color w:val="000000"/>
          <w:sz w:val="28"/>
          <w:szCs w:val="28"/>
          <w:lang w:eastAsia="ru-RU"/>
        </w:rPr>
      </w:pPr>
      <w:r w:rsidRPr="00F73061">
        <w:rPr>
          <w:rFonts w:ascii="Times New Roman" w:eastAsia="Times New Roman" w:hAnsi="Times New Roman" w:cs="Times New Roman"/>
          <w:b/>
          <w:bCs/>
          <w:i/>
          <w:iCs/>
          <w:color w:val="000000"/>
          <w:sz w:val="28"/>
          <w:szCs w:val="28"/>
          <w:lang w:eastAsia="ru-RU"/>
        </w:rPr>
        <w:t>1.</w:t>
      </w:r>
      <w:r w:rsidRPr="008F6F1A">
        <w:rPr>
          <w:rFonts w:ascii="Times New Roman" w:eastAsia="Times New Roman" w:hAnsi="Times New Roman" w:cs="Times New Roman"/>
          <w:b/>
          <w:bCs/>
          <w:i/>
          <w:iCs/>
          <w:color w:val="000000"/>
          <w:sz w:val="28"/>
          <w:szCs w:val="28"/>
          <w:lang w:eastAsia="ru-RU"/>
        </w:rPr>
        <w:t> Организация налогового учета</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1.1.</w:t>
      </w:r>
      <w:r w:rsidRPr="008F6F1A">
        <w:rPr>
          <w:rFonts w:ascii="Times New Roman" w:eastAsia="Times New Roman" w:hAnsi="Times New Roman" w:cs="Times New Roman"/>
          <w:color w:val="000000"/>
          <w:sz w:val="28"/>
          <w:szCs w:val="28"/>
          <w:lang w:eastAsia="ru-RU"/>
        </w:rPr>
        <w:t> Настоящая Учетная политика для целей налогового учета разработана в соответствии с Налоговым кодексом РФ:</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 </w:t>
      </w:r>
      <w:hyperlink r:id="rId4" w:anchor="/document/10900200/entry/11111" w:tgtFrame="_blank" w:tooltip="Открыть документ в системе Гарант" w:history="1">
        <w:r w:rsidRPr="00F73061">
          <w:rPr>
            <w:rFonts w:ascii="Times New Roman" w:eastAsia="Times New Roman" w:hAnsi="Times New Roman" w:cs="Times New Roman"/>
            <w:color w:val="000000"/>
            <w:sz w:val="28"/>
            <w:szCs w:val="28"/>
            <w:lang w:eastAsia="ru-RU"/>
          </w:rPr>
          <w:t>части первой</w:t>
        </w:r>
      </w:hyperlink>
      <w:r w:rsidRPr="008F6F1A">
        <w:rPr>
          <w:rFonts w:ascii="Times New Roman" w:eastAsia="Times New Roman" w:hAnsi="Times New Roman" w:cs="Times New Roman"/>
          <w:color w:val="000000"/>
          <w:sz w:val="28"/>
          <w:szCs w:val="28"/>
          <w:lang w:eastAsia="ru-RU"/>
        </w:rPr>
        <w:t> (Федеральный закон от 31.07.1998 N 146-ФЗ);</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 </w:t>
      </w:r>
      <w:hyperlink r:id="rId5" w:anchor="/document/10900200/entry/22222" w:tgtFrame="_blank" w:tooltip="Открыть документ в системе Гарант" w:history="1">
        <w:r w:rsidRPr="00F73061">
          <w:rPr>
            <w:rFonts w:ascii="Times New Roman" w:eastAsia="Times New Roman" w:hAnsi="Times New Roman" w:cs="Times New Roman"/>
            <w:color w:val="000000"/>
            <w:sz w:val="28"/>
            <w:szCs w:val="28"/>
            <w:lang w:eastAsia="ru-RU"/>
          </w:rPr>
          <w:t>части второй</w:t>
        </w:r>
      </w:hyperlink>
      <w:r w:rsidRPr="008F6F1A">
        <w:rPr>
          <w:rFonts w:ascii="Times New Roman" w:eastAsia="Times New Roman" w:hAnsi="Times New Roman" w:cs="Times New Roman"/>
          <w:color w:val="000000"/>
          <w:sz w:val="28"/>
          <w:szCs w:val="28"/>
          <w:lang w:eastAsia="ru-RU"/>
        </w:rPr>
        <w:t> (Федеральный закон от 05.08.2000 N 117-ФЗ).</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1.2.</w:t>
      </w:r>
      <w:r w:rsidRPr="008F6F1A">
        <w:rPr>
          <w:rFonts w:ascii="Times New Roman" w:eastAsia="Times New Roman" w:hAnsi="Times New Roman" w:cs="Times New Roman"/>
          <w:color w:val="000000"/>
          <w:sz w:val="28"/>
          <w:szCs w:val="28"/>
          <w:lang w:eastAsia="ru-RU"/>
        </w:rPr>
        <w:t> Ведение налогового учета осуществляет централизованная бухгалтерия.</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1.3.</w:t>
      </w:r>
      <w:r w:rsidRPr="008F6F1A">
        <w:rPr>
          <w:rFonts w:ascii="Times New Roman" w:eastAsia="Times New Roman" w:hAnsi="Times New Roman" w:cs="Times New Roman"/>
          <w:color w:val="000000"/>
          <w:sz w:val="28"/>
          <w:szCs w:val="28"/>
          <w:lang w:eastAsia="ru-RU"/>
        </w:rPr>
        <w:t> Учет доходов и расходов, полученных в рамках целевого финансирования и приносящей доход деятельности, в целях налогообложения ведется раздельно с использованием различных аналитик учета, в том числе по видам целевых средств и целевых поступлений, кодам вида финансового обеспечения (далее - КФО).</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1.4.</w:t>
      </w:r>
      <w:r w:rsidRPr="008F6F1A">
        <w:rPr>
          <w:rFonts w:ascii="Times New Roman" w:eastAsia="Times New Roman" w:hAnsi="Times New Roman" w:cs="Times New Roman"/>
          <w:color w:val="000000"/>
          <w:sz w:val="28"/>
          <w:szCs w:val="28"/>
          <w:lang w:eastAsia="ru-RU"/>
        </w:rPr>
        <w:t> Обработка учетной информации для целей налогообложения осуществляется с применением </w:t>
      </w:r>
      <w:r w:rsidRPr="00F73061">
        <w:rPr>
          <w:rFonts w:ascii="Times New Roman" w:eastAsia="Times New Roman" w:hAnsi="Times New Roman" w:cs="Times New Roman"/>
          <w:color w:val="000000"/>
          <w:sz w:val="28"/>
          <w:szCs w:val="28"/>
          <w:lang w:eastAsia="ru-RU"/>
        </w:rPr>
        <w:t>Бухгалтерской программы "Парус-Бюджет"</w:t>
      </w:r>
      <w:r w:rsidRPr="008F6F1A">
        <w:rPr>
          <w:rFonts w:ascii="Times New Roman" w:eastAsia="Times New Roman" w:hAnsi="Times New Roman" w:cs="Times New Roman"/>
          <w:color w:val="000000"/>
          <w:sz w:val="28"/>
          <w:szCs w:val="28"/>
          <w:lang w:eastAsia="ru-RU"/>
        </w:rPr>
        <w:t>.</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1.5.</w:t>
      </w:r>
      <w:r w:rsidRPr="008F6F1A">
        <w:rPr>
          <w:rFonts w:ascii="Times New Roman" w:eastAsia="Times New Roman" w:hAnsi="Times New Roman" w:cs="Times New Roman"/>
          <w:color w:val="000000"/>
          <w:sz w:val="28"/>
          <w:szCs w:val="28"/>
          <w:lang w:eastAsia="ru-RU"/>
        </w:rPr>
        <w:t> Учреждение исчисляет налоговую базу на основании данных об объектах налогообложения, которые содержатся в налоговых регистрах (регистрах налогового учета).</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Для систематизации данных первичных документов в качестве регистров налогового учета применяются регистры бухгалтерского учета, указанные в Приложении N </w:t>
      </w:r>
      <w:r w:rsidR="009B4D1C">
        <w:rPr>
          <w:rFonts w:ascii="Times New Roman" w:eastAsia="Times New Roman" w:hAnsi="Times New Roman" w:cs="Times New Roman"/>
          <w:color w:val="000000"/>
          <w:sz w:val="28"/>
          <w:szCs w:val="28"/>
          <w:lang w:eastAsia="ru-RU"/>
        </w:rPr>
        <w:t>10</w:t>
      </w:r>
      <w:r w:rsidRPr="008F6F1A">
        <w:rPr>
          <w:rFonts w:ascii="Times New Roman" w:eastAsia="Times New Roman" w:hAnsi="Times New Roman" w:cs="Times New Roman"/>
          <w:color w:val="000000"/>
          <w:sz w:val="28"/>
          <w:szCs w:val="28"/>
          <w:lang w:eastAsia="ru-RU"/>
        </w:rPr>
        <w:t>.</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Если данных бухгалтерского учета недостаточно для формирования достоверной информации об объектах налогообложения, налоговые регистры заполняются на основании данных налогового учета и/или первичных документов об осуществлении хозяйственных операций.</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1.6.</w:t>
      </w:r>
      <w:r w:rsidRPr="008F6F1A">
        <w:rPr>
          <w:rFonts w:ascii="Times New Roman" w:eastAsia="Times New Roman" w:hAnsi="Times New Roman" w:cs="Times New Roman"/>
          <w:color w:val="000000"/>
          <w:sz w:val="28"/>
          <w:szCs w:val="28"/>
          <w:lang w:eastAsia="ru-RU"/>
        </w:rPr>
        <w:t> Регистры налогового учета распечатываются на бумажных носителях не позднее </w:t>
      </w:r>
      <w:r w:rsidRPr="00F73061">
        <w:rPr>
          <w:rFonts w:ascii="Times New Roman" w:eastAsia="Times New Roman" w:hAnsi="Times New Roman" w:cs="Times New Roman"/>
          <w:color w:val="000000"/>
          <w:sz w:val="28"/>
          <w:szCs w:val="28"/>
          <w:lang w:eastAsia="ru-RU"/>
        </w:rPr>
        <w:t>пятого</w:t>
      </w:r>
      <w:r w:rsidRPr="008F6F1A">
        <w:rPr>
          <w:rFonts w:ascii="Times New Roman" w:eastAsia="Times New Roman" w:hAnsi="Times New Roman" w:cs="Times New Roman"/>
          <w:color w:val="000000"/>
          <w:sz w:val="28"/>
          <w:szCs w:val="28"/>
          <w:lang w:eastAsia="ru-RU"/>
        </w:rPr>
        <w:t> числа месяца, следующего за отчетным периодом.</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F6F1A">
        <w:rPr>
          <w:rFonts w:ascii="Times New Roman" w:eastAsia="Times New Roman" w:hAnsi="Times New Roman" w:cs="Times New Roman"/>
          <w:color w:val="000000"/>
          <w:sz w:val="28"/>
          <w:szCs w:val="28"/>
          <w:lang w:eastAsia="ru-RU"/>
        </w:rPr>
        <w:t>Первичные документы бухгалтерского и налогового учета, которыми оформляются хозяйственные операции Учреждения, а также регистры бухгалтерского и налогового учета, в которых обобщаются данные первичных документов бухгалтерского и налогового учета и на основании которых исчисляется налоговая база, хранятся в Бухгалтерской службе.</w:t>
      </w:r>
      <w:proofErr w:type="gramEnd"/>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lastRenderedPageBreak/>
        <w:t>1.7.</w:t>
      </w:r>
      <w:r w:rsidRPr="008F6F1A">
        <w:rPr>
          <w:rFonts w:ascii="Times New Roman" w:eastAsia="Times New Roman" w:hAnsi="Times New Roman" w:cs="Times New Roman"/>
          <w:color w:val="000000"/>
          <w:sz w:val="28"/>
          <w:szCs w:val="28"/>
          <w:lang w:eastAsia="ru-RU"/>
        </w:rPr>
        <w:t> Сроки и состав документов, представляемых лицу, ведущему налоговый учет или документооборот, осуществляется в соответствии с Графиком документооборота (Приложение N </w:t>
      </w:r>
      <w:r w:rsidR="005D4A96">
        <w:rPr>
          <w:rFonts w:ascii="Times New Roman" w:eastAsia="Times New Roman" w:hAnsi="Times New Roman" w:cs="Times New Roman"/>
          <w:color w:val="000000"/>
          <w:sz w:val="28"/>
          <w:szCs w:val="28"/>
          <w:lang w:eastAsia="ru-RU"/>
        </w:rPr>
        <w:t>2</w:t>
      </w:r>
      <w:r w:rsidRPr="008F6F1A">
        <w:rPr>
          <w:rFonts w:ascii="Times New Roman" w:eastAsia="Times New Roman" w:hAnsi="Times New Roman" w:cs="Times New Roman"/>
          <w:color w:val="000000"/>
          <w:sz w:val="28"/>
          <w:szCs w:val="28"/>
          <w:lang w:eastAsia="ru-RU"/>
        </w:rPr>
        <w:t> к учетной политике).</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1.8.</w:t>
      </w:r>
      <w:r w:rsidRPr="008F6F1A">
        <w:rPr>
          <w:rFonts w:ascii="Times New Roman" w:eastAsia="Times New Roman" w:hAnsi="Times New Roman" w:cs="Times New Roman"/>
          <w:color w:val="000000"/>
          <w:sz w:val="28"/>
          <w:szCs w:val="28"/>
          <w:lang w:eastAsia="ru-RU"/>
        </w:rPr>
        <w:t> С целью информирования налогового органа об исчисленных суммах налогов, авансовых платежей по налогам, сборов, страховых взносов, уплаченных (перечисленных) в качестве единого налогового платежа учреждение представляет уведомления.</w:t>
      </w:r>
    </w:p>
    <w:p w:rsidR="008F6F1A" w:rsidRPr="008F6F1A" w:rsidRDefault="008F6F1A" w:rsidP="008F6F1A">
      <w:pPr>
        <w:spacing w:before="100" w:beforeAutospacing="1" w:after="100" w:afterAutospacing="1" w:line="240" w:lineRule="auto"/>
        <w:jc w:val="center"/>
        <w:outlineLvl w:val="1"/>
        <w:rPr>
          <w:rFonts w:ascii="Times New Roman" w:eastAsia="Times New Roman" w:hAnsi="Times New Roman" w:cs="Times New Roman"/>
          <w:b/>
          <w:bCs/>
          <w:i/>
          <w:iCs/>
          <w:color w:val="000000"/>
          <w:sz w:val="28"/>
          <w:szCs w:val="28"/>
          <w:lang w:eastAsia="ru-RU"/>
        </w:rPr>
      </w:pPr>
      <w:r w:rsidRPr="00F73061">
        <w:rPr>
          <w:rFonts w:ascii="Times New Roman" w:eastAsia="Times New Roman" w:hAnsi="Times New Roman" w:cs="Times New Roman"/>
          <w:b/>
          <w:bCs/>
          <w:i/>
          <w:iCs/>
          <w:color w:val="000000"/>
          <w:sz w:val="28"/>
          <w:szCs w:val="28"/>
          <w:lang w:eastAsia="ru-RU"/>
        </w:rPr>
        <w:t>2.</w:t>
      </w:r>
      <w:r w:rsidRPr="008F6F1A">
        <w:rPr>
          <w:rFonts w:ascii="Times New Roman" w:eastAsia="Times New Roman" w:hAnsi="Times New Roman" w:cs="Times New Roman"/>
          <w:b/>
          <w:bCs/>
          <w:i/>
          <w:iCs/>
          <w:color w:val="000000"/>
          <w:sz w:val="28"/>
          <w:szCs w:val="28"/>
          <w:lang w:eastAsia="ru-RU"/>
        </w:rPr>
        <w:t> НДС</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2.1.</w:t>
      </w:r>
      <w:r w:rsidRPr="008F6F1A">
        <w:rPr>
          <w:rFonts w:ascii="Times New Roman" w:eastAsia="Times New Roman" w:hAnsi="Times New Roman" w:cs="Times New Roman"/>
          <w:color w:val="000000"/>
          <w:sz w:val="28"/>
          <w:szCs w:val="28"/>
          <w:lang w:eastAsia="ru-RU"/>
        </w:rPr>
        <w:t> Учреждение применяет право на освобождение от исполнения обязанностей налогоплательщика по НДС.</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2.2.</w:t>
      </w:r>
      <w:r w:rsidRPr="008F6F1A">
        <w:rPr>
          <w:rFonts w:ascii="Times New Roman" w:eastAsia="Times New Roman" w:hAnsi="Times New Roman" w:cs="Times New Roman"/>
          <w:color w:val="000000"/>
          <w:sz w:val="28"/>
          <w:szCs w:val="28"/>
          <w:lang w:eastAsia="ru-RU"/>
        </w:rPr>
        <w:t> Счета-фактуры составляются на бумажных носителях и в электронном виде.</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2.3.</w:t>
      </w:r>
      <w:r w:rsidRPr="008F6F1A">
        <w:rPr>
          <w:rFonts w:ascii="Times New Roman" w:eastAsia="Times New Roman" w:hAnsi="Times New Roman" w:cs="Times New Roman"/>
          <w:color w:val="000000"/>
          <w:sz w:val="28"/>
          <w:szCs w:val="28"/>
          <w:lang w:eastAsia="ru-RU"/>
        </w:rPr>
        <w:t> Нумерация счетов-фактур производится в порядке возрастания номеров с начала календарного года.</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2.4.</w:t>
      </w:r>
      <w:r w:rsidRPr="008F6F1A">
        <w:rPr>
          <w:rFonts w:ascii="Times New Roman" w:eastAsia="Times New Roman" w:hAnsi="Times New Roman" w:cs="Times New Roman"/>
          <w:color w:val="000000"/>
          <w:sz w:val="28"/>
          <w:szCs w:val="28"/>
          <w:lang w:eastAsia="ru-RU"/>
        </w:rPr>
        <w:t> При изменении стоимости отгруженных товаров (выполненных работ, оказанных услуг), переданных имущественных прав, указанных в двух и более счетах-фактурах, корректировочный счет-фактура составляется по согласованию с покупателем - единый корректировочный счет-фактура или отдельные корректировочные счета-фактуры.</w:t>
      </w:r>
    </w:p>
    <w:p w:rsidR="008F6F1A" w:rsidRPr="008F6F1A" w:rsidRDefault="008F6F1A" w:rsidP="008F6F1A">
      <w:pPr>
        <w:spacing w:before="100" w:beforeAutospacing="1" w:after="100" w:afterAutospacing="1" w:line="240" w:lineRule="auto"/>
        <w:jc w:val="center"/>
        <w:outlineLvl w:val="1"/>
        <w:rPr>
          <w:rFonts w:ascii="Times New Roman" w:eastAsia="Times New Roman" w:hAnsi="Times New Roman" w:cs="Times New Roman"/>
          <w:b/>
          <w:bCs/>
          <w:i/>
          <w:iCs/>
          <w:color w:val="000000"/>
          <w:sz w:val="28"/>
          <w:szCs w:val="28"/>
          <w:lang w:eastAsia="ru-RU"/>
        </w:rPr>
      </w:pPr>
      <w:r w:rsidRPr="00F73061">
        <w:rPr>
          <w:rFonts w:ascii="Times New Roman" w:eastAsia="Times New Roman" w:hAnsi="Times New Roman" w:cs="Times New Roman"/>
          <w:b/>
          <w:bCs/>
          <w:i/>
          <w:iCs/>
          <w:color w:val="000000"/>
          <w:sz w:val="28"/>
          <w:szCs w:val="28"/>
          <w:lang w:eastAsia="ru-RU"/>
        </w:rPr>
        <w:t>3.</w:t>
      </w:r>
      <w:r w:rsidRPr="008F6F1A">
        <w:rPr>
          <w:rFonts w:ascii="Times New Roman" w:eastAsia="Times New Roman" w:hAnsi="Times New Roman" w:cs="Times New Roman"/>
          <w:b/>
          <w:bCs/>
          <w:i/>
          <w:iCs/>
          <w:color w:val="000000"/>
          <w:sz w:val="28"/>
          <w:szCs w:val="28"/>
          <w:lang w:eastAsia="ru-RU"/>
        </w:rPr>
        <w:t> Налог на прибыль</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3.1.</w:t>
      </w:r>
      <w:r w:rsidRPr="008F6F1A">
        <w:rPr>
          <w:rFonts w:ascii="Times New Roman" w:eastAsia="Times New Roman" w:hAnsi="Times New Roman" w:cs="Times New Roman"/>
          <w:color w:val="000000"/>
          <w:sz w:val="28"/>
          <w:szCs w:val="28"/>
          <w:lang w:eastAsia="ru-RU"/>
        </w:rPr>
        <w:t> Доходы и расходы признаются кассовым методом.</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3.2.</w:t>
      </w:r>
      <w:r w:rsidRPr="008F6F1A">
        <w:rPr>
          <w:rFonts w:ascii="Times New Roman" w:eastAsia="Times New Roman" w:hAnsi="Times New Roman" w:cs="Times New Roman"/>
          <w:color w:val="000000"/>
          <w:sz w:val="28"/>
          <w:szCs w:val="28"/>
          <w:lang w:eastAsia="ru-RU"/>
        </w:rPr>
        <w:t> Отчетными периодами по налогу на прибыль признаются первый квартал, полугодие и девять месяцев календарного года.</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3.3.</w:t>
      </w:r>
      <w:r w:rsidRPr="008F6F1A">
        <w:rPr>
          <w:rFonts w:ascii="Times New Roman" w:eastAsia="Times New Roman" w:hAnsi="Times New Roman" w:cs="Times New Roman"/>
          <w:color w:val="000000"/>
          <w:sz w:val="28"/>
          <w:szCs w:val="28"/>
          <w:lang w:eastAsia="ru-RU"/>
        </w:rPr>
        <w:t> Ведение раздельного учета доходов и расходов в целях обеспечения требований </w:t>
      </w:r>
      <w:hyperlink r:id="rId6" w:anchor="/document/10900200/entry/251" w:tgtFrame="_blank" w:tooltip="Открыть документ в системе Гарант" w:history="1">
        <w:r w:rsidRPr="00F73061">
          <w:rPr>
            <w:rFonts w:ascii="Times New Roman" w:eastAsia="Times New Roman" w:hAnsi="Times New Roman" w:cs="Times New Roman"/>
            <w:color w:val="000000"/>
            <w:sz w:val="28"/>
            <w:szCs w:val="28"/>
            <w:lang w:eastAsia="ru-RU"/>
          </w:rPr>
          <w:t>пунктов 1</w:t>
        </w:r>
      </w:hyperlink>
      <w:r w:rsidRPr="008F6F1A">
        <w:rPr>
          <w:rFonts w:ascii="Times New Roman" w:eastAsia="Times New Roman" w:hAnsi="Times New Roman" w:cs="Times New Roman"/>
          <w:color w:val="000000"/>
          <w:sz w:val="28"/>
          <w:szCs w:val="28"/>
          <w:lang w:eastAsia="ru-RU"/>
        </w:rPr>
        <w:t> и </w:t>
      </w:r>
      <w:hyperlink r:id="rId7" w:anchor="/document/10900200/entry/2512" w:tgtFrame="_blank" w:tooltip="Открыть документ в системе Гарант" w:history="1">
        <w:r w:rsidRPr="00F73061">
          <w:rPr>
            <w:rFonts w:ascii="Times New Roman" w:eastAsia="Times New Roman" w:hAnsi="Times New Roman" w:cs="Times New Roman"/>
            <w:color w:val="000000"/>
            <w:sz w:val="28"/>
            <w:szCs w:val="28"/>
            <w:lang w:eastAsia="ru-RU"/>
          </w:rPr>
          <w:t>2 ст.251</w:t>
        </w:r>
      </w:hyperlink>
      <w:r w:rsidRPr="008F6F1A">
        <w:rPr>
          <w:rFonts w:ascii="Times New Roman" w:eastAsia="Times New Roman" w:hAnsi="Times New Roman" w:cs="Times New Roman"/>
          <w:color w:val="000000"/>
          <w:sz w:val="28"/>
          <w:szCs w:val="28"/>
          <w:lang w:eastAsia="ru-RU"/>
        </w:rPr>
        <w:t> НК РФ обеспечивается построением системы бухгалтерского учета с применением соответствующих счетов аналитического учета Рабочего плана счетов, в том числе по кодам видов финансового обеспечения, видам целевых средств и целевых поступлений.</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3.4.</w:t>
      </w:r>
      <w:r w:rsidRPr="008F6F1A">
        <w:rPr>
          <w:rFonts w:ascii="Times New Roman" w:eastAsia="Times New Roman" w:hAnsi="Times New Roman" w:cs="Times New Roman"/>
          <w:color w:val="000000"/>
          <w:sz w:val="28"/>
          <w:szCs w:val="28"/>
          <w:lang w:eastAsia="ru-RU"/>
        </w:rPr>
        <w:t> Доходы, относящиеся к нескольким отчетным (налоговым) периодам, и в случае, если связь между доходами и расходами не может быть определена четко или определяется косвенным путем, признаются равномерно в течение срока действия договора.</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3.5.</w:t>
      </w:r>
      <w:r w:rsidRPr="008F6F1A">
        <w:rPr>
          <w:rFonts w:ascii="Times New Roman" w:eastAsia="Times New Roman" w:hAnsi="Times New Roman" w:cs="Times New Roman"/>
          <w:color w:val="000000"/>
          <w:sz w:val="28"/>
          <w:szCs w:val="28"/>
          <w:lang w:eastAsia="ru-RU"/>
        </w:rPr>
        <w:t> Доходы от сдачи имущества в аренду (субаренду) учитываются в составе доходов от реализации.</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lastRenderedPageBreak/>
        <w:t>3.</w:t>
      </w:r>
      <w:r w:rsidR="00266C2B">
        <w:rPr>
          <w:rFonts w:ascii="Times New Roman" w:eastAsia="Times New Roman" w:hAnsi="Times New Roman" w:cs="Times New Roman"/>
          <w:color w:val="000000"/>
          <w:sz w:val="28"/>
          <w:szCs w:val="28"/>
          <w:lang w:eastAsia="ru-RU"/>
        </w:rPr>
        <w:t>6</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К прямым расходам, связанным с производством и реализацией относятся:</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 xml:space="preserve">Косвенными расходами признаются все остальные расходы, за исключением </w:t>
      </w:r>
      <w:proofErr w:type="spellStart"/>
      <w:r w:rsidRPr="008F6F1A">
        <w:rPr>
          <w:rFonts w:ascii="Times New Roman" w:eastAsia="Times New Roman" w:hAnsi="Times New Roman" w:cs="Times New Roman"/>
          <w:color w:val="000000"/>
          <w:sz w:val="28"/>
          <w:szCs w:val="28"/>
          <w:lang w:eastAsia="ru-RU"/>
        </w:rPr>
        <w:t>внереализационных</w:t>
      </w:r>
      <w:proofErr w:type="spellEnd"/>
      <w:r w:rsidRPr="008F6F1A">
        <w:rPr>
          <w:rFonts w:ascii="Times New Roman" w:eastAsia="Times New Roman" w:hAnsi="Times New Roman" w:cs="Times New Roman"/>
          <w:color w:val="000000"/>
          <w:sz w:val="28"/>
          <w:szCs w:val="28"/>
          <w:lang w:eastAsia="ru-RU"/>
        </w:rPr>
        <w:t>.</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w:t>
      </w:r>
      <w:r w:rsidR="00266C2B">
        <w:rPr>
          <w:rFonts w:ascii="Times New Roman" w:eastAsia="Times New Roman" w:hAnsi="Times New Roman" w:cs="Times New Roman"/>
          <w:color w:val="000000"/>
          <w:sz w:val="28"/>
          <w:szCs w:val="28"/>
          <w:lang w:eastAsia="ru-RU"/>
        </w:rPr>
        <w:t>7</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Расходы, понесенные при оказании услуг в рамках приносящей доход деятельности, признаются по мере реализации услуг, в стоимости которых они учтены в соответствии со ст. 319 НК РФ.</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w:t>
      </w:r>
      <w:r w:rsidR="00266C2B">
        <w:rPr>
          <w:rFonts w:ascii="Times New Roman" w:eastAsia="Times New Roman" w:hAnsi="Times New Roman" w:cs="Times New Roman"/>
          <w:color w:val="000000"/>
          <w:sz w:val="28"/>
          <w:szCs w:val="28"/>
          <w:lang w:eastAsia="ru-RU"/>
        </w:rPr>
        <w:t>8</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Прямые расходы на незавершенное производство и на изготовленную в текущем месяце продукцию (выполненные работы, оказанные услуги) распределяются на остатки незавершенного производства в доле, соответствующей доле таких остатков в исходном сырье (в количественном выражении).</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w:t>
      </w:r>
      <w:r w:rsidR="00266C2B">
        <w:rPr>
          <w:rFonts w:ascii="Times New Roman" w:eastAsia="Times New Roman" w:hAnsi="Times New Roman" w:cs="Times New Roman"/>
          <w:color w:val="000000"/>
          <w:sz w:val="28"/>
          <w:szCs w:val="28"/>
          <w:lang w:eastAsia="ru-RU"/>
        </w:rPr>
        <w:t>9</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При невозможности отнести отдельные виды прямых расходов к конкретному производственному процессу по изготовлению данного вида продукции (выполнения работ, оказания услуг), эти виды прямых расходов распределяются пропорционально заработной плате работников, осуществляющих конкретный производственный процесс.</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3.1</w:t>
      </w:r>
      <w:r w:rsidR="00266C2B">
        <w:rPr>
          <w:rFonts w:ascii="Times New Roman" w:eastAsia="Times New Roman" w:hAnsi="Times New Roman" w:cs="Times New Roman"/>
          <w:color w:val="000000"/>
          <w:sz w:val="28"/>
          <w:szCs w:val="28"/>
          <w:lang w:eastAsia="ru-RU"/>
        </w:rPr>
        <w:t>0</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Общехозяйственные и иные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 xml:space="preserve">К </w:t>
      </w:r>
      <w:proofErr w:type="gramStart"/>
      <w:r w:rsidRPr="008F6F1A">
        <w:rPr>
          <w:rFonts w:ascii="Times New Roman" w:eastAsia="Times New Roman" w:hAnsi="Times New Roman" w:cs="Times New Roman"/>
          <w:color w:val="000000"/>
          <w:sz w:val="28"/>
          <w:szCs w:val="28"/>
          <w:lang w:eastAsia="ru-RU"/>
        </w:rPr>
        <w:t>распределяемым</w:t>
      </w:r>
      <w:proofErr w:type="gramEnd"/>
      <w:r w:rsidRPr="008F6F1A">
        <w:rPr>
          <w:rFonts w:ascii="Times New Roman" w:eastAsia="Times New Roman" w:hAnsi="Times New Roman" w:cs="Times New Roman"/>
          <w:color w:val="000000"/>
          <w:sz w:val="28"/>
          <w:szCs w:val="28"/>
          <w:lang w:eastAsia="ru-RU"/>
        </w:rPr>
        <w:t xml:space="preserve"> относятся следующие расходы:</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 коммунальные платежи;</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 расходы по приобретению и содержанию имущества, которое используется во всех видах деятельности;</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 услуги связи;</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Для определения доли расходов, признаваемых при налогообложении прибыли, коэффициент распределения определяется по формуле:</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8F6F1A">
        <w:rPr>
          <w:rFonts w:ascii="Times New Roman" w:eastAsia="Times New Roman" w:hAnsi="Times New Roman" w:cs="Times New Roman"/>
          <w:color w:val="000000"/>
          <w:sz w:val="28"/>
          <w:szCs w:val="28"/>
          <w:lang w:eastAsia="ru-RU"/>
        </w:rPr>
        <w:t>Красп</w:t>
      </w:r>
      <w:proofErr w:type="spellEnd"/>
      <w:r w:rsidRPr="008F6F1A">
        <w:rPr>
          <w:rFonts w:ascii="Times New Roman" w:eastAsia="Times New Roman" w:hAnsi="Times New Roman" w:cs="Times New Roman"/>
          <w:color w:val="000000"/>
          <w:sz w:val="28"/>
          <w:szCs w:val="28"/>
          <w:lang w:eastAsia="ru-RU"/>
        </w:rPr>
        <w:t xml:space="preserve"> = </w:t>
      </w:r>
      <w:proofErr w:type="spellStart"/>
      <w:r w:rsidRPr="008F6F1A">
        <w:rPr>
          <w:rFonts w:ascii="Times New Roman" w:eastAsia="Times New Roman" w:hAnsi="Times New Roman" w:cs="Times New Roman"/>
          <w:color w:val="000000"/>
          <w:sz w:val="28"/>
          <w:szCs w:val="28"/>
          <w:lang w:eastAsia="ru-RU"/>
        </w:rPr>
        <w:t>Дплат</w:t>
      </w:r>
      <w:proofErr w:type="spellEnd"/>
      <w:r w:rsidRPr="008F6F1A">
        <w:rPr>
          <w:rFonts w:ascii="Times New Roman" w:eastAsia="Times New Roman" w:hAnsi="Times New Roman" w:cs="Times New Roman"/>
          <w:color w:val="000000"/>
          <w:sz w:val="28"/>
          <w:szCs w:val="28"/>
          <w:lang w:eastAsia="ru-RU"/>
        </w:rPr>
        <w:t>/(</w:t>
      </w:r>
      <w:proofErr w:type="spellStart"/>
      <w:r w:rsidRPr="008F6F1A">
        <w:rPr>
          <w:rFonts w:ascii="Times New Roman" w:eastAsia="Times New Roman" w:hAnsi="Times New Roman" w:cs="Times New Roman"/>
          <w:color w:val="000000"/>
          <w:sz w:val="28"/>
          <w:szCs w:val="28"/>
          <w:lang w:eastAsia="ru-RU"/>
        </w:rPr>
        <w:t>Дплат+Сцф</w:t>
      </w:r>
      <w:proofErr w:type="spellEnd"/>
      <w:r w:rsidRPr="008F6F1A">
        <w:rPr>
          <w:rFonts w:ascii="Times New Roman" w:eastAsia="Times New Roman" w:hAnsi="Times New Roman" w:cs="Times New Roman"/>
          <w:color w:val="000000"/>
          <w:sz w:val="28"/>
          <w:szCs w:val="28"/>
          <w:lang w:eastAsia="ru-RU"/>
        </w:rPr>
        <w:t>),</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где:</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8F6F1A">
        <w:rPr>
          <w:rFonts w:ascii="Times New Roman" w:eastAsia="Times New Roman" w:hAnsi="Times New Roman" w:cs="Times New Roman"/>
          <w:color w:val="000000"/>
          <w:sz w:val="28"/>
          <w:szCs w:val="28"/>
          <w:lang w:eastAsia="ru-RU"/>
        </w:rPr>
        <w:t>Красп</w:t>
      </w:r>
      <w:proofErr w:type="spellEnd"/>
      <w:r w:rsidRPr="008F6F1A">
        <w:rPr>
          <w:rFonts w:ascii="Times New Roman" w:eastAsia="Times New Roman" w:hAnsi="Times New Roman" w:cs="Times New Roman"/>
          <w:color w:val="000000"/>
          <w:sz w:val="28"/>
          <w:szCs w:val="28"/>
          <w:lang w:eastAsia="ru-RU"/>
        </w:rPr>
        <w:t xml:space="preserve"> - коэффициент распределения;</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8F6F1A">
        <w:rPr>
          <w:rFonts w:ascii="Times New Roman" w:eastAsia="Times New Roman" w:hAnsi="Times New Roman" w:cs="Times New Roman"/>
          <w:color w:val="000000"/>
          <w:sz w:val="28"/>
          <w:szCs w:val="28"/>
          <w:lang w:eastAsia="ru-RU"/>
        </w:rPr>
        <w:t>Дплат</w:t>
      </w:r>
      <w:proofErr w:type="spellEnd"/>
      <w:r w:rsidRPr="008F6F1A">
        <w:rPr>
          <w:rFonts w:ascii="Times New Roman" w:eastAsia="Times New Roman" w:hAnsi="Times New Roman" w:cs="Times New Roman"/>
          <w:color w:val="000000"/>
          <w:sz w:val="28"/>
          <w:szCs w:val="28"/>
          <w:lang w:eastAsia="ru-RU"/>
        </w:rPr>
        <w:t xml:space="preserve"> – доходы от платной деятельности, полученные в отчетном периоде и учитываемые при налогообложении прибыли;</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8F6F1A">
        <w:rPr>
          <w:rFonts w:ascii="Times New Roman" w:eastAsia="Times New Roman" w:hAnsi="Times New Roman" w:cs="Times New Roman"/>
          <w:color w:val="000000"/>
          <w:sz w:val="28"/>
          <w:szCs w:val="28"/>
          <w:lang w:eastAsia="ru-RU"/>
        </w:rPr>
        <w:lastRenderedPageBreak/>
        <w:t>Сцф</w:t>
      </w:r>
      <w:proofErr w:type="spellEnd"/>
      <w:r w:rsidRPr="008F6F1A">
        <w:rPr>
          <w:rFonts w:ascii="Times New Roman" w:eastAsia="Times New Roman" w:hAnsi="Times New Roman" w:cs="Times New Roman"/>
          <w:color w:val="000000"/>
          <w:sz w:val="28"/>
          <w:szCs w:val="28"/>
          <w:lang w:eastAsia="ru-RU"/>
        </w:rPr>
        <w:t xml:space="preserve"> - средства целевого финансирования, полученные в отчетном периоде.</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В целях распределения общехозяйственных и иных расходов доходы и расходы признаются нарастающим итогом.</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F6F1A">
        <w:rPr>
          <w:rFonts w:ascii="Times New Roman" w:eastAsia="Times New Roman" w:hAnsi="Times New Roman" w:cs="Times New Roman"/>
          <w:color w:val="000000"/>
          <w:sz w:val="28"/>
          <w:szCs w:val="28"/>
          <w:lang w:eastAsia="ru-RU"/>
        </w:rPr>
        <w:t>Сумма субсидии, включаемая в расчет пропорции за отчетный период определяется</w:t>
      </w:r>
      <w:proofErr w:type="gramEnd"/>
      <w:r w:rsidRPr="008F6F1A">
        <w:rPr>
          <w:rFonts w:ascii="Times New Roman" w:eastAsia="Times New Roman" w:hAnsi="Times New Roman" w:cs="Times New Roman"/>
          <w:color w:val="000000"/>
          <w:sz w:val="28"/>
          <w:szCs w:val="28"/>
          <w:lang w:eastAsia="ru-RU"/>
        </w:rPr>
        <w:t xml:space="preserve"> как кредитовый оборот по счету 4 401 10 000 за соответствующий период.</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3.1</w:t>
      </w:r>
      <w:r w:rsidR="00266C2B">
        <w:rPr>
          <w:rFonts w:ascii="Times New Roman" w:eastAsia="Times New Roman" w:hAnsi="Times New Roman" w:cs="Times New Roman"/>
          <w:color w:val="000000"/>
          <w:sz w:val="28"/>
          <w:szCs w:val="28"/>
          <w:lang w:eastAsia="ru-RU"/>
        </w:rPr>
        <w:t>1</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xml:space="preserve"> Стоимость имущества, не являющегося амортизируемым (инструменты, </w:t>
      </w:r>
      <w:proofErr w:type="spellStart"/>
      <w:r w:rsidRPr="008F6F1A">
        <w:rPr>
          <w:rFonts w:ascii="Times New Roman" w:eastAsia="Times New Roman" w:hAnsi="Times New Roman" w:cs="Times New Roman"/>
          <w:color w:val="000000"/>
          <w:sz w:val="28"/>
          <w:szCs w:val="28"/>
          <w:lang w:eastAsia="ru-RU"/>
        </w:rPr>
        <w:t>приспособленя</w:t>
      </w:r>
      <w:proofErr w:type="spellEnd"/>
      <w:r w:rsidRPr="008F6F1A">
        <w:rPr>
          <w:rFonts w:ascii="Times New Roman" w:eastAsia="Times New Roman" w:hAnsi="Times New Roman" w:cs="Times New Roman"/>
          <w:color w:val="000000"/>
          <w:sz w:val="28"/>
          <w:szCs w:val="28"/>
          <w:lang w:eastAsia="ru-RU"/>
        </w:rPr>
        <w:t xml:space="preserve">, инвентарь, приборы, лабораторное оборудование, спецодежда, иное </w:t>
      </w:r>
      <w:proofErr w:type="spellStart"/>
      <w:r w:rsidRPr="008F6F1A">
        <w:rPr>
          <w:rFonts w:ascii="Times New Roman" w:eastAsia="Times New Roman" w:hAnsi="Times New Roman" w:cs="Times New Roman"/>
          <w:color w:val="000000"/>
          <w:sz w:val="28"/>
          <w:szCs w:val="28"/>
          <w:lang w:eastAsia="ru-RU"/>
        </w:rPr>
        <w:t>неамортизируемое</w:t>
      </w:r>
      <w:proofErr w:type="spellEnd"/>
      <w:r w:rsidRPr="008F6F1A">
        <w:rPr>
          <w:rFonts w:ascii="Times New Roman" w:eastAsia="Times New Roman" w:hAnsi="Times New Roman" w:cs="Times New Roman"/>
          <w:color w:val="000000"/>
          <w:sz w:val="28"/>
          <w:szCs w:val="28"/>
          <w:lang w:eastAsia="ru-RU"/>
        </w:rPr>
        <w:t xml:space="preserve"> имущество), признается в составе материальных расходов единовременно.</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3.1</w:t>
      </w:r>
      <w:r w:rsidR="00266C2B">
        <w:rPr>
          <w:rFonts w:ascii="Times New Roman" w:eastAsia="Times New Roman" w:hAnsi="Times New Roman" w:cs="Times New Roman"/>
          <w:color w:val="000000"/>
          <w:sz w:val="28"/>
          <w:szCs w:val="28"/>
          <w:lang w:eastAsia="ru-RU"/>
        </w:rPr>
        <w:t>2</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При списании используемых при производстве (изготовлении) продукции (выполнении работ, оказании услуг) сырья и материалов применяется метод оценки по средней стоимости.</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3.1</w:t>
      </w:r>
      <w:r w:rsidR="00266C2B">
        <w:rPr>
          <w:rFonts w:ascii="Times New Roman" w:eastAsia="Times New Roman" w:hAnsi="Times New Roman" w:cs="Times New Roman"/>
          <w:color w:val="000000"/>
          <w:sz w:val="28"/>
          <w:szCs w:val="28"/>
          <w:lang w:eastAsia="ru-RU"/>
        </w:rPr>
        <w:t>3</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Амортизация по объектам основных средств начисляется линейным методом.</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Срок полезного использования основных сре</w:t>
      </w:r>
      <w:proofErr w:type="gramStart"/>
      <w:r w:rsidRPr="008F6F1A">
        <w:rPr>
          <w:rFonts w:ascii="Times New Roman" w:eastAsia="Times New Roman" w:hAnsi="Times New Roman" w:cs="Times New Roman"/>
          <w:color w:val="000000"/>
          <w:sz w:val="28"/>
          <w:szCs w:val="28"/>
          <w:lang w:eastAsia="ru-RU"/>
        </w:rPr>
        <w:t>дств дл</w:t>
      </w:r>
      <w:proofErr w:type="gramEnd"/>
      <w:r w:rsidRPr="008F6F1A">
        <w:rPr>
          <w:rFonts w:ascii="Times New Roman" w:eastAsia="Times New Roman" w:hAnsi="Times New Roman" w:cs="Times New Roman"/>
          <w:color w:val="000000"/>
          <w:sz w:val="28"/>
          <w:szCs w:val="28"/>
          <w:lang w:eastAsia="ru-RU"/>
        </w:rPr>
        <w:t>я целей налогообложения определяется по максимальному значению интервала сроков, установленных для амортизационной группы, в которую включено основное средство в соответствии с Классификацией основных средств, утверждаемой Правительством Российской Федерации.</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В случае реконструкции, модернизации или технического перевооружения срок полезного использования основного средства не увеличивается. При этом применяется норма амортизации, определенная исходя из срока полезного использования, первоначально установленного для этого объекта основных средств.</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3.1</w:t>
      </w:r>
      <w:r w:rsidR="00266C2B">
        <w:rPr>
          <w:rFonts w:ascii="Times New Roman" w:eastAsia="Times New Roman" w:hAnsi="Times New Roman" w:cs="Times New Roman"/>
          <w:color w:val="000000"/>
          <w:sz w:val="28"/>
          <w:szCs w:val="28"/>
          <w:lang w:eastAsia="ru-RU"/>
        </w:rPr>
        <w:t>4</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Амортизация по амортизируемым основным средствам, используемым как в приносящей доход деятельности, так и в деятельности по выполнению задания, признается в расходах пропорционально доле соответствующего дохода в суммарном объеме всех доходов учреждения в соответствии с </w:t>
      </w:r>
      <w:hyperlink r:id="rId8" w:anchor="/document/10900200/entry/272" w:tgtFrame="_blank" w:tooltip="Открыть документ в системе Гарант" w:history="1">
        <w:r w:rsidRPr="00F73061">
          <w:rPr>
            <w:rFonts w:ascii="Times New Roman" w:eastAsia="Times New Roman" w:hAnsi="Times New Roman" w:cs="Times New Roman"/>
            <w:color w:val="000000"/>
            <w:sz w:val="28"/>
            <w:szCs w:val="28"/>
            <w:lang w:eastAsia="ru-RU"/>
          </w:rPr>
          <w:t>п.1 ст.272</w:t>
        </w:r>
      </w:hyperlink>
      <w:r w:rsidRPr="008F6F1A">
        <w:rPr>
          <w:rFonts w:ascii="Times New Roman" w:eastAsia="Times New Roman" w:hAnsi="Times New Roman" w:cs="Times New Roman"/>
          <w:color w:val="000000"/>
          <w:sz w:val="28"/>
          <w:szCs w:val="28"/>
          <w:lang w:eastAsia="ru-RU"/>
        </w:rPr>
        <w:t> НК РФ.</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3.1</w:t>
      </w:r>
      <w:r w:rsidR="00266C2B">
        <w:rPr>
          <w:rFonts w:ascii="Times New Roman" w:eastAsia="Times New Roman" w:hAnsi="Times New Roman" w:cs="Times New Roman"/>
          <w:color w:val="000000"/>
          <w:sz w:val="28"/>
          <w:szCs w:val="28"/>
          <w:lang w:eastAsia="ru-RU"/>
        </w:rPr>
        <w:t>5</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Затраты на капитальные вложения и расходы, которые понесены в случаях достройки, дооборудования, реконструкции, модернизации, технического перевооружения, частичной ликвидации основных средств (амортизационная премия) не включаются в состав расходов отчетного (налогового) периода.</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lastRenderedPageBreak/>
        <w:t>3.1</w:t>
      </w:r>
      <w:r w:rsidR="00266C2B">
        <w:rPr>
          <w:rFonts w:ascii="Times New Roman" w:eastAsia="Times New Roman" w:hAnsi="Times New Roman" w:cs="Times New Roman"/>
          <w:color w:val="000000"/>
          <w:sz w:val="28"/>
          <w:szCs w:val="28"/>
          <w:lang w:eastAsia="ru-RU"/>
        </w:rPr>
        <w:t>6</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По нематериальным активам амортизация начисляется линейным методом.</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3.1</w:t>
      </w:r>
      <w:r w:rsidR="00266C2B">
        <w:rPr>
          <w:rFonts w:ascii="Times New Roman" w:eastAsia="Times New Roman" w:hAnsi="Times New Roman" w:cs="Times New Roman"/>
          <w:color w:val="000000"/>
          <w:sz w:val="28"/>
          <w:szCs w:val="28"/>
          <w:lang w:eastAsia="ru-RU"/>
        </w:rPr>
        <w:t>7</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При получении исключительных прав на результаты НИОКР они признаются в составе нематериальных активов, которые амортизируются исходя из срока действия патента, свидетельства и (или) из других ограничений сроков использования объектов интеллектуальной собственности.</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w:t>
      </w:r>
      <w:r w:rsidR="00266C2B">
        <w:rPr>
          <w:rFonts w:ascii="Times New Roman" w:eastAsia="Times New Roman" w:hAnsi="Times New Roman" w:cs="Times New Roman"/>
          <w:color w:val="000000"/>
          <w:sz w:val="28"/>
          <w:szCs w:val="28"/>
          <w:lang w:eastAsia="ru-RU"/>
        </w:rPr>
        <w:t>18</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w:t>
      </w:r>
      <w:proofErr w:type="gramStart"/>
      <w:r w:rsidRPr="008F6F1A">
        <w:rPr>
          <w:rFonts w:ascii="Times New Roman" w:eastAsia="Times New Roman" w:hAnsi="Times New Roman" w:cs="Times New Roman"/>
          <w:color w:val="000000"/>
          <w:sz w:val="28"/>
          <w:szCs w:val="28"/>
          <w:lang w:eastAsia="ru-RU"/>
        </w:rPr>
        <w:t>Расходы на оплату труда, предусмотренные трудовыми и коллективным договорами, локальными актами Учреждения и осуществляемые за счет средств от приносящей доход деятельности (КФО 2), кроме расходов, произведенных за счет целевых средств), а также соответствующие страховые взносы полностью относятся на уменьшение налогооблагаемой базы, независимо от того, принимал ли сотрудник участие в приносящей доход деятельности.</w:t>
      </w:r>
      <w:proofErr w:type="gramEnd"/>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3.</w:t>
      </w:r>
      <w:r w:rsidR="00266C2B">
        <w:rPr>
          <w:rFonts w:ascii="Times New Roman" w:eastAsia="Times New Roman" w:hAnsi="Times New Roman" w:cs="Times New Roman"/>
          <w:color w:val="000000"/>
          <w:sz w:val="28"/>
          <w:szCs w:val="28"/>
          <w:lang w:eastAsia="ru-RU"/>
        </w:rPr>
        <w:t>19</w:t>
      </w:r>
      <w:r w:rsidRPr="00F73061">
        <w:rPr>
          <w:rFonts w:ascii="Times New Roman" w:eastAsia="Times New Roman" w:hAnsi="Times New Roman" w:cs="Times New Roman"/>
          <w:color w:val="000000"/>
          <w:sz w:val="28"/>
          <w:szCs w:val="28"/>
          <w:lang w:eastAsia="ru-RU"/>
        </w:rPr>
        <w:t>.</w:t>
      </w:r>
      <w:r w:rsidRPr="008F6F1A">
        <w:rPr>
          <w:rFonts w:ascii="Times New Roman" w:eastAsia="Times New Roman" w:hAnsi="Times New Roman" w:cs="Times New Roman"/>
          <w:color w:val="000000"/>
          <w:sz w:val="28"/>
          <w:szCs w:val="28"/>
          <w:lang w:eastAsia="ru-RU"/>
        </w:rPr>
        <w:t> Учреждение создает резерв предстоящих расходов на оплату отпусков. Расчет резерва осуществляется в соответствии с Приложением N </w:t>
      </w:r>
      <w:r w:rsidR="009B4D1C">
        <w:rPr>
          <w:rFonts w:ascii="Times New Roman" w:eastAsia="Times New Roman" w:hAnsi="Times New Roman" w:cs="Times New Roman"/>
          <w:color w:val="000000"/>
          <w:sz w:val="28"/>
          <w:szCs w:val="28"/>
          <w:lang w:eastAsia="ru-RU"/>
        </w:rPr>
        <w:t>9</w:t>
      </w:r>
      <w:r w:rsidRPr="008F6F1A">
        <w:rPr>
          <w:rFonts w:ascii="Times New Roman" w:eastAsia="Times New Roman" w:hAnsi="Times New Roman" w:cs="Times New Roman"/>
          <w:color w:val="000000"/>
          <w:sz w:val="28"/>
          <w:szCs w:val="28"/>
          <w:lang w:eastAsia="ru-RU"/>
        </w:rPr>
        <w:t>.</w:t>
      </w:r>
    </w:p>
    <w:p w:rsidR="008F6F1A" w:rsidRPr="008F6F1A" w:rsidRDefault="008F6F1A" w:rsidP="008F6F1A">
      <w:pPr>
        <w:spacing w:before="100" w:beforeAutospacing="1" w:after="100" w:afterAutospacing="1" w:line="240" w:lineRule="auto"/>
        <w:jc w:val="center"/>
        <w:outlineLvl w:val="1"/>
        <w:rPr>
          <w:rFonts w:ascii="Times New Roman" w:eastAsia="Times New Roman" w:hAnsi="Times New Roman" w:cs="Times New Roman"/>
          <w:b/>
          <w:bCs/>
          <w:i/>
          <w:iCs/>
          <w:color w:val="000000"/>
          <w:sz w:val="28"/>
          <w:szCs w:val="28"/>
          <w:lang w:eastAsia="ru-RU"/>
        </w:rPr>
      </w:pPr>
      <w:r w:rsidRPr="00F73061">
        <w:rPr>
          <w:rFonts w:ascii="Times New Roman" w:eastAsia="Times New Roman" w:hAnsi="Times New Roman" w:cs="Times New Roman"/>
          <w:b/>
          <w:bCs/>
          <w:i/>
          <w:iCs/>
          <w:color w:val="000000"/>
          <w:sz w:val="28"/>
          <w:szCs w:val="28"/>
          <w:lang w:eastAsia="ru-RU"/>
        </w:rPr>
        <w:t>4.</w:t>
      </w:r>
      <w:r w:rsidRPr="008F6F1A">
        <w:rPr>
          <w:rFonts w:ascii="Times New Roman" w:eastAsia="Times New Roman" w:hAnsi="Times New Roman" w:cs="Times New Roman"/>
          <w:b/>
          <w:bCs/>
          <w:i/>
          <w:iCs/>
          <w:color w:val="000000"/>
          <w:sz w:val="28"/>
          <w:szCs w:val="28"/>
          <w:lang w:eastAsia="ru-RU"/>
        </w:rPr>
        <w:t> Налог на доходы физических лиц</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4.1.</w:t>
      </w:r>
      <w:r w:rsidRPr="008F6F1A">
        <w:rPr>
          <w:rFonts w:ascii="Times New Roman" w:eastAsia="Times New Roman" w:hAnsi="Times New Roman" w:cs="Times New Roman"/>
          <w:color w:val="000000"/>
          <w:sz w:val="28"/>
          <w:szCs w:val="28"/>
          <w:lang w:eastAsia="ru-RU"/>
        </w:rPr>
        <w:t> Учет доходов физических лиц, налоговых вычетов, а также сумм исчисленного и удержанного налога на доходы физических лиц по каждому сотруднику ведется в налоговом регистре по форме, предусмотренной программой для ведения учета.</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4.2.</w:t>
      </w:r>
      <w:r w:rsidRPr="008F6F1A">
        <w:rPr>
          <w:rFonts w:ascii="Times New Roman" w:eastAsia="Times New Roman" w:hAnsi="Times New Roman" w:cs="Times New Roman"/>
          <w:color w:val="000000"/>
          <w:sz w:val="28"/>
          <w:szCs w:val="28"/>
          <w:lang w:eastAsia="ru-RU"/>
        </w:rPr>
        <w:t> Наряду с налоговым регистром по учету доходов для целей исчисления НДФЛ, ведение которого осуществляется по каждому физическому лицу, налоговым агентом применяются также вспомогательные регистры:</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6F1A">
        <w:rPr>
          <w:rFonts w:ascii="Times New Roman" w:eastAsia="Times New Roman" w:hAnsi="Times New Roman" w:cs="Times New Roman"/>
          <w:color w:val="000000"/>
          <w:sz w:val="28"/>
          <w:szCs w:val="28"/>
          <w:lang w:eastAsia="ru-RU"/>
        </w:rPr>
        <w:t>Формы регистров приведены в Приложении N </w:t>
      </w:r>
      <w:r w:rsidR="009B4D1C">
        <w:rPr>
          <w:rFonts w:ascii="Times New Roman" w:eastAsia="Times New Roman" w:hAnsi="Times New Roman" w:cs="Times New Roman"/>
          <w:color w:val="000000"/>
          <w:sz w:val="28"/>
          <w:szCs w:val="28"/>
          <w:lang w:eastAsia="ru-RU"/>
        </w:rPr>
        <w:t>10</w:t>
      </w:r>
      <w:r w:rsidRPr="008F6F1A">
        <w:rPr>
          <w:rFonts w:ascii="Times New Roman" w:eastAsia="Times New Roman" w:hAnsi="Times New Roman" w:cs="Times New Roman"/>
          <w:color w:val="000000"/>
          <w:sz w:val="28"/>
          <w:szCs w:val="28"/>
          <w:lang w:eastAsia="ru-RU"/>
        </w:rPr>
        <w:t>.</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4.3.</w:t>
      </w:r>
      <w:r w:rsidRPr="008F6F1A">
        <w:rPr>
          <w:rFonts w:ascii="Times New Roman" w:eastAsia="Times New Roman" w:hAnsi="Times New Roman" w:cs="Times New Roman"/>
          <w:color w:val="000000"/>
          <w:sz w:val="28"/>
          <w:szCs w:val="28"/>
          <w:lang w:eastAsia="ru-RU"/>
        </w:rPr>
        <w:t> Стандартные налоговые вычеты предоставляются Учреждением налогоплательщику на основании его письменного заявления и документов, подтверждающих право на такие вычеты.</w:t>
      </w:r>
    </w:p>
    <w:p w:rsidR="008F6F1A" w:rsidRPr="008F6F1A" w:rsidRDefault="008F6F1A" w:rsidP="008F6F1A">
      <w:pPr>
        <w:spacing w:before="100" w:beforeAutospacing="1" w:after="100" w:afterAutospacing="1" w:line="240" w:lineRule="auto"/>
        <w:jc w:val="center"/>
        <w:outlineLvl w:val="1"/>
        <w:rPr>
          <w:rFonts w:ascii="Times New Roman" w:eastAsia="Times New Roman" w:hAnsi="Times New Roman" w:cs="Times New Roman"/>
          <w:b/>
          <w:bCs/>
          <w:i/>
          <w:iCs/>
          <w:color w:val="000000"/>
          <w:sz w:val="28"/>
          <w:szCs w:val="28"/>
          <w:lang w:eastAsia="ru-RU"/>
        </w:rPr>
      </w:pPr>
      <w:r w:rsidRPr="00F73061">
        <w:rPr>
          <w:rFonts w:ascii="Times New Roman" w:eastAsia="Times New Roman" w:hAnsi="Times New Roman" w:cs="Times New Roman"/>
          <w:b/>
          <w:bCs/>
          <w:i/>
          <w:iCs/>
          <w:color w:val="000000"/>
          <w:sz w:val="28"/>
          <w:szCs w:val="28"/>
          <w:lang w:eastAsia="ru-RU"/>
        </w:rPr>
        <w:t>5.</w:t>
      </w:r>
      <w:r w:rsidRPr="008F6F1A">
        <w:rPr>
          <w:rFonts w:ascii="Times New Roman" w:eastAsia="Times New Roman" w:hAnsi="Times New Roman" w:cs="Times New Roman"/>
          <w:b/>
          <w:bCs/>
          <w:i/>
          <w:iCs/>
          <w:color w:val="000000"/>
          <w:sz w:val="28"/>
          <w:szCs w:val="28"/>
          <w:lang w:eastAsia="ru-RU"/>
        </w:rPr>
        <w:t> Страховые взносы</w:t>
      </w:r>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t>5.1.</w:t>
      </w:r>
      <w:r w:rsidRPr="008F6F1A">
        <w:rPr>
          <w:rFonts w:ascii="Times New Roman" w:eastAsia="Times New Roman" w:hAnsi="Times New Roman" w:cs="Times New Roman"/>
          <w:color w:val="000000"/>
          <w:sz w:val="28"/>
          <w:szCs w:val="28"/>
          <w:lang w:eastAsia="ru-RU"/>
        </w:rPr>
        <w:t> </w:t>
      </w:r>
      <w:proofErr w:type="gramStart"/>
      <w:r w:rsidRPr="008F6F1A">
        <w:rPr>
          <w:rFonts w:ascii="Times New Roman" w:eastAsia="Times New Roman" w:hAnsi="Times New Roman" w:cs="Times New Roman"/>
          <w:color w:val="000000"/>
          <w:sz w:val="28"/>
          <w:szCs w:val="28"/>
          <w:lang w:eastAsia="ru-RU"/>
        </w:rPr>
        <w:t>Для учета сумм начисленных выплат и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используется регистр, форма которого приведена в Приложении N </w:t>
      </w:r>
      <w:r w:rsidR="009B4D1C">
        <w:rPr>
          <w:rFonts w:ascii="Times New Roman" w:eastAsia="Times New Roman" w:hAnsi="Times New Roman" w:cs="Times New Roman"/>
          <w:color w:val="000000"/>
          <w:sz w:val="28"/>
          <w:szCs w:val="28"/>
          <w:lang w:eastAsia="ru-RU"/>
        </w:rPr>
        <w:t>10</w:t>
      </w:r>
      <w:r w:rsidRPr="008F6F1A">
        <w:rPr>
          <w:rFonts w:ascii="Times New Roman" w:eastAsia="Times New Roman" w:hAnsi="Times New Roman" w:cs="Times New Roman"/>
          <w:color w:val="000000"/>
          <w:sz w:val="28"/>
          <w:szCs w:val="28"/>
          <w:lang w:eastAsia="ru-RU"/>
        </w:rPr>
        <w:t> к учетной политике.</w:t>
      </w:r>
      <w:proofErr w:type="gramEnd"/>
    </w:p>
    <w:p w:rsidR="008F6F1A" w:rsidRPr="008F6F1A" w:rsidRDefault="008F6F1A" w:rsidP="008F6F1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3061">
        <w:rPr>
          <w:rFonts w:ascii="Times New Roman" w:eastAsia="Times New Roman" w:hAnsi="Times New Roman" w:cs="Times New Roman"/>
          <w:color w:val="000000"/>
          <w:sz w:val="28"/>
          <w:szCs w:val="28"/>
          <w:lang w:eastAsia="ru-RU"/>
        </w:rPr>
        <w:lastRenderedPageBreak/>
        <w:t>5.2.</w:t>
      </w:r>
      <w:r w:rsidRPr="008F6F1A">
        <w:rPr>
          <w:rFonts w:ascii="Times New Roman" w:eastAsia="Times New Roman" w:hAnsi="Times New Roman" w:cs="Times New Roman"/>
          <w:color w:val="000000"/>
          <w:sz w:val="28"/>
          <w:szCs w:val="28"/>
          <w:lang w:eastAsia="ru-RU"/>
        </w:rPr>
        <w:t> Для учета начислений и перечислений страховых взносов,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ведется в регистре, форма которого приведена в Приложении N </w:t>
      </w:r>
      <w:r w:rsidR="009B4D1C">
        <w:rPr>
          <w:rFonts w:ascii="Times New Roman" w:eastAsia="Times New Roman" w:hAnsi="Times New Roman" w:cs="Times New Roman"/>
          <w:color w:val="000000"/>
          <w:sz w:val="28"/>
          <w:szCs w:val="28"/>
          <w:lang w:eastAsia="ru-RU"/>
        </w:rPr>
        <w:t>10</w:t>
      </w:r>
      <w:r w:rsidRPr="008F6F1A">
        <w:rPr>
          <w:rFonts w:ascii="Times New Roman" w:eastAsia="Times New Roman" w:hAnsi="Times New Roman" w:cs="Times New Roman"/>
          <w:color w:val="000000"/>
          <w:sz w:val="28"/>
          <w:szCs w:val="28"/>
          <w:lang w:eastAsia="ru-RU"/>
        </w:rPr>
        <w:t> к учетной политике.</w:t>
      </w:r>
    </w:p>
    <w:p w:rsidR="00914635" w:rsidRPr="00F73061" w:rsidRDefault="00914635">
      <w:pPr>
        <w:rPr>
          <w:rFonts w:ascii="Times New Roman" w:hAnsi="Times New Roman" w:cs="Times New Roman"/>
          <w:sz w:val="28"/>
          <w:szCs w:val="28"/>
        </w:rPr>
      </w:pPr>
    </w:p>
    <w:sectPr w:rsidR="00914635" w:rsidRPr="00F73061" w:rsidSect="009146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F6F1A"/>
    <w:rsid w:val="00254F40"/>
    <w:rsid w:val="00264D2B"/>
    <w:rsid w:val="00266C2B"/>
    <w:rsid w:val="005D4A96"/>
    <w:rsid w:val="006A0DEA"/>
    <w:rsid w:val="00744ED5"/>
    <w:rsid w:val="008F6F1A"/>
    <w:rsid w:val="00914635"/>
    <w:rsid w:val="009B4D1C"/>
    <w:rsid w:val="00CC679D"/>
    <w:rsid w:val="00CF27D1"/>
    <w:rsid w:val="00D36F78"/>
    <w:rsid w:val="00F73061"/>
    <w:rsid w:val="00FF0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635"/>
  </w:style>
  <w:style w:type="paragraph" w:styleId="1">
    <w:name w:val="heading 1"/>
    <w:basedOn w:val="a"/>
    <w:link w:val="10"/>
    <w:uiPriority w:val="9"/>
    <w:qFormat/>
    <w:rsid w:val="008F6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F6F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6F1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F6F1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F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ntable">
    <w:name w:val="printable"/>
    <w:basedOn w:val="a0"/>
    <w:rsid w:val="008F6F1A"/>
  </w:style>
  <w:style w:type="character" w:styleId="a4">
    <w:name w:val="Hyperlink"/>
    <w:basedOn w:val="a0"/>
    <w:uiPriority w:val="99"/>
    <w:semiHidden/>
    <w:unhideWhenUsed/>
    <w:rsid w:val="008F6F1A"/>
    <w:rPr>
      <w:color w:val="0000FF"/>
      <w:u w:val="single"/>
    </w:rPr>
  </w:style>
  <w:style w:type="character" w:customStyle="1" w:styleId="enumerated">
    <w:name w:val="enumerated"/>
    <w:basedOn w:val="a0"/>
    <w:rsid w:val="008F6F1A"/>
  </w:style>
  <w:style w:type="paragraph" w:styleId="a5">
    <w:name w:val="No Spacing"/>
    <w:uiPriority w:val="1"/>
    <w:qFormat/>
    <w:rsid w:val="009B4D1C"/>
    <w:pPr>
      <w:spacing w:beforeAutospacing="1" w:after="0" w:afterAutospacing="1" w:line="240" w:lineRule="auto"/>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663123698">
      <w:bodyDiv w:val="1"/>
      <w:marLeft w:val="0"/>
      <w:marRight w:val="0"/>
      <w:marTop w:val="0"/>
      <w:marBottom w:val="0"/>
      <w:divBdr>
        <w:top w:val="none" w:sz="0" w:space="0" w:color="auto"/>
        <w:left w:val="none" w:sz="0" w:space="0" w:color="auto"/>
        <w:bottom w:val="none" w:sz="0" w:space="0" w:color="auto"/>
        <w:right w:val="none" w:sz="0" w:space="0" w:color="auto"/>
      </w:divBdr>
      <w:divsChild>
        <w:div w:id="425271267">
          <w:marLeft w:val="0"/>
          <w:marRight w:val="0"/>
          <w:marTop w:val="0"/>
          <w:marBottom w:val="0"/>
          <w:divBdr>
            <w:top w:val="none" w:sz="0" w:space="0" w:color="auto"/>
            <w:left w:val="none" w:sz="0" w:space="0" w:color="auto"/>
            <w:bottom w:val="none" w:sz="0" w:space="0" w:color="auto"/>
            <w:right w:val="none" w:sz="0" w:space="0" w:color="auto"/>
          </w:divBdr>
        </w:div>
        <w:div w:id="1175800629">
          <w:marLeft w:val="0"/>
          <w:marRight w:val="0"/>
          <w:marTop w:val="0"/>
          <w:marBottom w:val="0"/>
          <w:divBdr>
            <w:top w:val="none" w:sz="0" w:space="0" w:color="auto"/>
            <w:left w:val="none" w:sz="0" w:space="0" w:color="auto"/>
            <w:bottom w:val="none" w:sz="0" w:space="0" w:color="auto"/>
            <w:right w:val="none" w:sz="0" w:space="0" w:color="auto"/>
          </w:divBdr>
        </w:div>
        <w:div w:id="1166431741">
          <w:marLeft w:val="0"/>
          <w:marRight w:val="0"/>
          <w:marTop w:val="0"/>
          <w:marBottom w:val="0"/>
          <w:divBdr>
            <w:top w:val="none" w:sz="0" w:space="0" w:color="auto"/>
            <w:left w:val="none" w:sz="0" w:space="0" w:color="auto"/>
            <w:bottom w:val="none" w:sz="0" w:space="0" w:color="auto"/>
            <w:right w:val="none" w:sz="0" w:space="0" w:color="auto"/>
          </w:divBdr>
        </w:div>
        <w:div w:id="1633054281">
          <w:marLeft w:val="0"/>
          <w:marRight w:val="0"/>
          <w:marTop w:val="0"/>
          <w:marBottom w:val="0"/>
          <w:divBdr>
            <w:top w:val="none" w:sz="0" w:space="0" w:color="auto"/>
            <w:left w:val="none" w:sz="0" w:space="0" w:color="auto"/>
            <w:bottom w:val="none" w:sz="0" w:space="0" w:color="auto"/>
            <w:right w:val="none" w:sz="0" w:space="0" w:color="auto"/>
          </w:divBdr>
        </w:div>
        <w:div w:id="281888364">
          <w:marLeft w:val="0"/>
          <w:marRight w:val="0"/>
          <w:marTop w:val="0"/>
          <w:marBottom w:val="0"/>
          <w:divBdr>
            <w:top w:val="none" w:sz="0" w:space="0" w:color="auto"/>
            <w:left w:val="none" w:sz="0" w:space="0" w:color="auto"/>
            <w:bottom w:val="none" w:sz="0" w:space="0" w:color="auto"/>
            <w:right w:val="none" w:sz="0" w:space="0" w:color="auto"/>
          </w:divBdr>
        </w:div>
        <w:div w:id="710884832">
          <w:marLeft w:val="0"/>
          <w:marRight w:val="0"/>
          <w:marTop w:val="0"/>
          <w:marBottom w:val="0"/>
          <w:divBdr>
            <w:top w:val="none" w:sz="0" w:space="0" w:color="auto"/>
            <w:left w:val="none" w:sz="0" w:space="0" w:color="auto"/>
            <w:bottom w:val="none" w:sz="0" w:space="0" w:color="auto"/>
            <w:right w:val="none" w:sz="0" w:space="0" w:color="auto"/>
          </w:divBdr>
        </w:div>
        <w:div w:id="1658000201">
          <w:marLeft w:val="0"/>
          <w:marRight w:val="0"/>
          <w:marTop w:val="0"/>
          <w:marBottom w:val="0"/>
          <w:divBdr>
            <w:top w:val="none" w:sz="0" w:space="0" w:color="auto"/>
            <w:left w:val="none" w:sz="0" w:space="0" w:color="auto"/>
            <w:bottom w:val="none" w:sz="0" w:space="0" w:color="auto"/>
            <w:right w:val="none" w:sz="0" w:space="0" w:color="auto"/>
          </w:divBdr>
        </w:div>
        <w:div w:id="1737628207">
          <w:marLeft w:val="0"/>
          <w:marRight w:val="0"/>
          <w:marTop w:val="0"/>
          <w:marBottom w:val="0"/>
          <w:divBdr>
            <w:top w:val="none" w:sz="0" w:space="0" w:color="auto"/>
            <w:left w:val="none" w:sz="0" w:space="0" w:color="auto"/>
            <w:bottom w:val="none" w:sz="0" w:space="0" w:color="auto"/>
            <w:right w:val="none" w:sz="0" w:space="0" w:color="auto"/>
          </w:divBdr>
        </w:div>
        <w:div w:id="142159988">
          <w:marLeft w:val="0"/>
          <w:marRight w:val="0"/>
          <w:marTop w:val="0"/>
          <w:marBottom w:val="0"/>
          <w:divBdr>
            <w:top w:val="none" w:sz="0" w:space="0" w:color="auto"/>
            <w:left w:val="none" w:sz="0" w:space="0" w:color="auto"/>
            <w:bottom w:val="none" w:sz="0" w:space="0" w:color="auto"/>
            <w:right w:val="none" w:sz="0" w:space="0" w:color="auto"/>
          </w:divBdr>
        </w:div>
        <w:div w:id="1694265000">
          <w:marLeft w:val="0"/>
          <w:marRight w:val="0"/>
          <w:marTop w:val="0"/>
          <w:marBottom w:val="0"/>
          <w:divBdr>
            <w:top w:val="none" w:sz="0" w:space="0" w:color="auto"/>
            <w:left w:val="none" w:sz="0" w:space="0" w:color="auto"/>
            <w:bottom w:val="none" w:sz="0" w:space="0" w:color="auto"/>
            <w:right w:val="none" w:sz="0" w:space="0" w:color="auto"/>
          </w:divBdr>
        </w:div>
        <w:div w:id="1428885517">
          <w:marLeft w:val="0"/>
          <w:marRight w:val="0"/>
          <w:marTop w:val="0"/>
          <w:marBottom w:val="0"/>
          <w:divBdr>
            <w:top w:val="none" w:sz="0" w:space="0" w:color="auto"/>
            <w:left w:val="none" w:sz="0" w:space="0" w:color="auto"/>
            <w:bottom w:val="none" w:sz="0" w:space="0" w:color="auto"/>
            <w:right w:val="none" w:sz="0" w:space="0" w:color="auto"/>
          </w:divBdr>
        </w:div>
        <w:div w:id="1289700389">
          <w:marLeft w:val="0"/>
          <w:marRight w:val="0"/>
          <w:marTop w:val="0"/>
          <w:marBottom w:val="0"/>
          <w:divBdr>
            <w:top w:val="none" w:sz="0" w:space="0" w:color="auto"/>
            <w:left w:val="none" w:sz="0" w:space="0" w:color="auto"/>
            <w:bottom w:val="none" w:sz="0" w:space="0" w:color="auto"/>
            <w:right w:val="none" w:sz="0" w:space="0" w:color="auto"/>
          </w:divBdr>
        </w:div>
        <w:div w:id="1573656801">
          <w:marLeft w:val="0"/>
          <w:marRight w:val="0"/>
          <w:marTop w:val="0"/>
          <w:marBottom w:val="0"/>
          <w:divBdr>
            <w:top w:val="none" w:sz="0" w:space="0" w:color="auto"/>
            <w:left w:val="none" w:sz="0" w:space="0" w:color="auto"/>
            <w:bottom w:val="none" w:sz="0" w:space="0" w:color="auto"/>
            <w:right w:val="none" w:sz="0" w:space="0" w:color="auto"/>
          </w:divBdr>
        </w:div>
        <w:div w:id="1835342685">
          <w:marLeft w:val="0"/>
          <w:marRight w:val="0"/>
          <w:marTop w:val="0"/>
          <w:marBottom w:val="0"/>
          <w:divBdr>
            <w:top w:val="none" w:sz="0" w:space="0" w:color="auto"/>
            <w:left w:val="none" w:sz="0" w:space="0" w:color="auto"/>
            <w:bottom w:val="none" w:sz="0" w:space="0" w:color="auto"/>
            <w:right w:val="none" w:sz="0" w:space="0" w:color="auto"/>
          </w:divBdr>
        </w:div>
        <w:div w:id="1356149148">
          <w:marLeft w:val="0"/>
          <w:marRight w:val="0"/>
          <w:marTop w:val="0"/>
          <w:marBottom w:val="0"/>
          <w:divBdr>
            <w:top w:val="none" w:sz="0" w:space="0" w:color="auto"/>
            <w:left w:val="none" w:sz="0" w:space="0" w:color="auto"/>
            <w:bottom w:val="none" w:sz="0" w:space="0" w:color="auto"/>
            <w:right w:val="none" w:sz="0" w:space="0" w:color="auto"/>
          </w:divBdr>
        </w:div>
        <w:div w:id="936407667">
          <w:marLeft w:val="0"/>
          <w:marRight w:val="0"/>
          <w:marTop w:val="0"/>
          <w:marBottom w:val="0"/>
          <w:divBdr>
            <w:top w:val="none" w:sz="0" w:space="0" w:color="auto"/>
            <w:left w:val="none" w:sz="0" w:space="0" w:color="auto"/>
            <w:bottom w:val="none" w:sz="0" w:space="0" w:color="auto"/>
            <w:right w:val="none" w:sz="0" w:space="0" w:color="auto"/>
          </w:divBdr>
        </w:div>
        <w:div w:id="1569877354">
          <w:marLeft w:val="0"/>
          <w:marRight w:val="0"/>
          <w:marTop w:val="0"/>
          <w:marBottom w:val="0"/>
          <w:divBdr>
            <w:top w:val="none" w:sz="0" w:space="0" w:color="auto"/>
            <w:left w:val="none" w:sz="0" w:space="0" w:color="auto"/>
            <w:bottom w:val="none" w:sz="0" w:space="0" w:color="auto"/>
            <w:right w:val="none" w:sz="0" w:space="0" w:color="auto"/>
          </w:divBdr>
        </w:div>
        <w:div w:id="491334654">
          <w:marLeft w:val="0"/>
          <w:marRight w:val="0"/>
          <w:marTop w:val="0"/>
          <w:marBottom w:val="0"/>
          <w:divBdr>
            <w:top w:val="none" w:sz="0" w:space="0" w:color="auto"/>
            <w:left w:val="none" w:sz="0" w:space="0" w:color="auto"/>
            <w:bottom w:val="none" w:sz="0" w:space="0" w:color="auto"/>
            <w:right w:val="none" w:sz="0" w:space="0" w:color="auto"/>
          </w:divBdr>
        </w:div>
        <w:div w:id="1098990648">
          <w:marLeft w:val="0"/>
          <w:marRight w:val="0"/>
          <w:marTop w:val="0"/>
          <w:marBottom w:val="0"/>
          <w:divBdr>
            <w:top w:val="none" w:sz="0" w:space="0" w:color="auto"/>
            <w:left w:val="none" w:sz="0" w:space="0" w:color="auto"/>
            <w:bottom w:val="none" w:sz="0" w:space="0" w:color="auto"/>
            <w:right w:val="none" w:sz="0" w:space="0" w:color="auto"/>
          </w:divBdr>
        </w:div>
        <w:div w:id="570776406">
          <w:marLeft w:val="0"/>
          <w:marRight w:val="0"/>
          <w:marTop w:val="0"/>
          <w:marBottom w:val="0"/>
          <w:divBdr>
            <w:top w:val="none" w:sz="0" w:space="0" w:color="auto"/>
            <w:left w:val="none" w:sz="0" w:space="0" w:color="auto"/>
            <w:bottom w:val="none" w:sz="0" w:space="0" w:color="auto"/>
            <w:right w:val="none" w:sz="0" w:space="0" w:color="auto"/>
          </w:divBdr>
        </w:div>
        <w:div w:id="212893391">
          <w:marLeft w:val="0"/>
          <w:marRight w:val="0"/>
          <w:marTop w:val="0"/>
          <w:marBottom w:val="0"/>
          <w:divBdr>
            <w:top w:val="none" w:sz="0" w:space="0" w:color="auto"/>
            <w:left w:val="none" w:sz="0" w:space="0" w:color="auto"/>
            <w:bottom w:val="none" w:sz="0" w:space="0" w:color="auto"/>
            <w:right w:val="none" w:sz="0" w:space="0" w:color="auto"/>
          </w:divBdr>
        </w:div>
        <w:div w:id="195779596">
          <w:marLeft w:val="0"/>
          <w:marRight w:val="0"/>
          <w:marTop w:val="0"/>
          <w:marBottom w:val="0"/>
          <w:divBdr>
            <w:top w:val="none" w:sz="0" w:space="0" w:color="auto"/>
            <w:left w:val="none" w:sz="0" w:space="0" w:color="auto"/>
            <w:bottom w:val="none" w:sz="0" w:space="0" w:color="auto"/>
            <w:right w:val="none" w:sz="0" w:space="0" w:color="auto"/>
          </w:divBdr>
        </w:div>
        <w:div w:id="1498882196">
          <w:marLeft w:val="0"/>
          <w:marRight w:val="0"/>
          <w:marTop w:val="0"/>
          <w:marBottom w:val="0"/>
          <w:divBdr>
            <w:top w:val="none" w:sz="0" w:space="0" w:color="auto"/>
            <w:left w:val="none" w:sz="0" w:space="0" w:color="auto"/>
            <w:bottom w:val="none" w:sz="0" w:space="0" w:color="auto"/>
            <w:right w:val="none" w:sz="0" w:space="0" w:color="auto"/>
          </w:divBdr>
        </w:div>
        <w:div w:id="1710760746">
          <w:marLeft w:val="0"/>
          <w:marRight w:val="0"/>
          <w:marTop w:val="0"/>
          <w:marBottom w:val="0"/>
          <w:divBdr>
            <w:top w:val="none" w:sz="0" w:space="0" w:color="auto"/>
            <w:left w:val="none" w:sz="0" w:space="0" w:color="auto"/>
            <w:bottom w:val="none" w:sz="0" w:space="0" w:color="auto"/>
            <w:right w:val="none" w:sz="0" w:space="0" w:color="auto"/>
          </w:divBdr>
        </w:div>
        <w:div w:id="306982781">
          <w:marLeft w:val="0"/>
          <w:marRight w:val="0"/>
          <w:marTop w:val="0"/>
          <w:marBottom w:val="0"/>
          <w:divBdr>
            <w:top w:val="none" w:sz="0" w:space="0" w:color="auto"/>
            <w:left w:val="none" w:sz="0" w:space="0" w:color="auto"/>
            <w:bottom w:val="none" w:sz="0" w:space="0" w:color="auto"/>
            <w:right w:val="none" w:sz="0" w:space="0" w:color="auto"/>
          </w:divBdr>
        </w:div>
        <w:div w:id="1815482140">
          <w:marLeft w:val="0"/>
          <w:marRight w:val="0"/>
          <w:marTop w:val="0"/>
          <w:marBottom w:val="0"/>
          <w:divBdr>
            <w:top w:val="none" w:sz="0" w:space="0" w:color="auto"/>
            <w:left w:val="none" w:sz="0" w:space="0" w:color="auto"/>
            <w:bottom w:val="none" w:sz="0" w:space="0" w:color="auto"/>
            <w:right w:val="none" w:sz="0" w:space="0" w:color="auto"/>
          </w:divBdr>
        </w:div>
        <w:div w:id="709110012">
          <w:marLeft w:val="0"/>
          <w:marRight w:val="0"/>
          <w:marTop w:val="0"/>
          <w:marBottom w:val="0"/>
          <w:divBdr>
            <w:top w:val="none" w:sz="0" w:space="0" w:color="auto"/>
            <w:left w:val="none" w:sz="0" w:space="0" w:color="auto"/>
            <w:bottom w:val="none" w:sz="0" w:space="0" w:color="auto"/>
            <w:right w:val="none" w:sz="0" w:space="0" w:color="auto"/>
          </w:divBdr>
        </w:div>
        <w:div w:id="1854756698">
          <w:marLeft w:val="0"/>
          <w:marRight w:val="0"/>
          <w:marTop w:val="0"/>
          <w:marBottom w:val="0"/>
          <w:divBdr>
            <w:top w:val="none" w:sz="0" w:space="0" w:color="auto"/>
            <w:left w:val="none" w:sz="0" w:space="0" w:color="auto"/>
            <w:bottom w:val="none" w:sz="0" w:space="0" w:color="auto"/>
            <w:right w:val="none" w:sz="0" w:space="0" w:color="auto"/>
          </w:divBdr>
        </w:div>
        <w:div w:id="1217008171">
          <w:marLeft w:val="0"/>
          <w:marRight w:val="0"/>
          <w:marTop w:val="0"/>
          <w:marBottom w:val="0"/>
          <w:divBdr>
            <w:top w:val="none" w:sz="0" w:space="0" w:color="auto"/>
            <w:left w:val="none" w:sz="0" w:space="0" w:color="auto"/>
            <w:bottom w:val="none" w:sz="0" w:space="0" w:color="auto"/>
            <w:right w:val="none" w:sz="0" w:space="0" w:color="auto"/>
          </w:divBdr>
        </w:div>
        <w:div w:id="2077973123">
          <w:marLeft w:val="0"/>
          <w:marRight w:val="0"/>
          <w:marTop w:val="0"/>
          <w:marBottom w:val="0"/>
          <w:divBdr>
            <w:top w:val="none" w:sz="0" w:space="0" w:color="auto"/>
            <w:left w:val="none" w:sz="0" w:space="0" w:color="auto"/>
            <w:bottom w:val="none" w:sz="0" w:space="0" w:color="auto"/>
            <w:right w:val="none" w:sz="0" w:space="0" w:color="auto"/>
          </w:divBdr>
        </w:div>
        <w:div w:id="1850178035">
          <w:marLeft w:val="0"/>
          <w:marRight w:val="0"/>
          <w:marTop w:val="0"/>
          <w:marBottom w:val="0"/>
          <w:divBdr>
            <w:top w:val="none" w:sz="0" w:space="0" w:color="auto"/>
            <w:left w:val="none" w:sz="0" w:space="0" w:color="auto"/>
            <w:bottom w:val="none" w:sz="0" w:space="0" w:color="auto"/>
            <w:right w:val="none" w:sz="0" w:space="0" w:color="auto"/>
          </w:divBdr>
        </w:div>
        <w:div w:id="2065984824">
          <w:marLeft w:val="0"/>
          <w:marRight w:val="0"/>
          <w:marTop w:val="0"/>
          <w:marBottom w:val="0"/>
          <w:divBdr>
            <w:top w:val="none" w:sz="0" w:space="0" w:color="auto"/>
            <w:left w:val="none" w:sz="0" w:space="0" w:color="auto"/>
            <w:bottom w:val="none" w:sz="0" w:space="0" w:color="auto"/>
            <w:right w:val="none" w:sz="0" w:space="0" w:color="auto"/>
          </w:divBdr>
        </w:div>
        <w:div w:id="61047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theme" Target="theme/theme1.xml"/><Relationship Id="rId4" Type="http://schemas.openxmlformats.org/officeDocument/2006/relationships/hyperlink" Target="https://internet.gar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Варениковского с\п Крымского района</Company>
  <LinksUpToDate>false</LinksUpToDate>
  <CharactersWithSpaces>10395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2023-06-02T06:29:00Z</dcterms:created>
  <dcterms:modified xsi:type="dcterms:W3CDTF">2023-06-16T08:21:00Z</dcterms:modified>
</cp:coreProperties>
</file>