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 w:type="dxa"/>
          <w:right w:w="10" w:type="dxa"/>
        </w:tblCellMar>
        <w:tblLook w:val="0000"/>
      </w:tblPr>
      <w:tblGrid>
        <w:gridCol w:w="10716"/>
      </w:tblGrid>
      <w:tr w:rsidR="008C5CCA">
        <w:tblPrEx>
          <w:tblCellMar>
            <w:top w:w="0" w:type="dxa"/>
            <w:bottom w:w="0" w:type="dxa"/>
          </w:tblCellMar>
        </w:tblPrEx>
        <w:trPr>
          <w:trHeight w:hRule="exact" w:val="8335"/>
        </w:trPr>
        <w:tc>
          <w:tcPr>
            <w:tcW w:w="10716" w:type="dxa"/>
            <w:tcBorders>
              <w:top w:val="nil"/>
              <w:left w:val="nil"/>
              <w:bottom w:val="nil"/>
              <w:right w:val="nil"/>
            </w:tcBorders>
            <w:vAlign w:val="center"/>
          </w:tcPr>
          <w:p w:rsidR="008C5CCA" w:rsidRDefault="008C5CCA">
            <w:pPr>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10.12.1995 N 196-ФЗ</w:t>
            </w:r>
            <w:r>
              <w:rPr>
                <w:rFonts w:ascii="Tahoma" w:hAnsi="Tahoma" w:cs="Tahoma"/>
                <w:sz w:val="48"/>
                <w:szCs w:val="48"/>
              </w:rPr>
              <w:br/>
              <w:t>(ред. от 28.11.2015)</w:t>
            </w:r>
            <w:r>
              <w:rPr>
                <w:rFonts w:ascii="Tahoma" w:hAnsi="Tahoma" w:cs="Tahoma"/>
                <w:sz w:val="48"/>
                <w:szCs w:val="48"/>
              </w:rPr>
              <w:br/>
              <w:t>"О безопасности дорожного движения"</w:t>
            </w:r>
            <w:r>
              <w:rPr>
                <w:rFonts w:ascii="Tahoma" w:hAnsi="Tahoma" w:cs="Tahoma"/>
                <w:sz w:val="48"/>
                <w:szCs w:val="48"/>
              </w:rPr>
              <w:br/>
              <w:t>(с изм. и доп., вступ. в силу с 15.01.2016)</w:t>
            </w:r>
          </w:p>
        </w:tc>
      </w:tr>
      <w:tr w:rsidR="008C5CCA">
        <w:tblPrEx>
          <w:tblCellMar>
            <w:top w:w="0" w:type="dxa"/>
            <w:bottom w:w="0" w:type="dxa"/>
          </w:tblCellMar>
        </w:tblPrEx>
        <w:trPr>
          <w:trHeight w:hRule="exact" w:val="3031"/>
        </w:trPr>
        <w:tc>
          <w:tcPr>
            <w:tcW w:w="10716" w:type="dxa"/>
            <w:tcBorders>
              <w:top w:val="nil"/>
              <w:left w:val="nil"/>
              <w:bottom w:val="nil"/>
              <w:right w:val="nil"/>
            </w:tcBorders>
            <w:vAlign w:val="center"/>
          </w:tcPr>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p>
          <w:p w:rsidR="008C5CCA" w:rsidRDefault="008C5CCA">
            <w:pPr>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br/>
              <w:t> </w:t>
            </w:r>
          </w:p>
        </w:tc>
      </w:tr>
    </w:tbl>
    <w:p w:rsidR="008C5CCA" w:rsidRDefault="008C5CCA" w:rsidP="008C5CCA">
      <w:pPr>
        <w:autoSpaceDE w:val="0"/>
        <w:autoSpaceDN w:val="0"/>
        <w:adjustRightInd w:val="0"/>
        <w:spacing w:after="0" w:line="240" w:lineRule="auto"/>
        <w:jc w:val="both"/>
        <w:rPr>
          <w:rFonts w:ascii="Arial CYR" w:hAnsi="Arial CYR" w:cs="Arial CYR"/>
          <w:sz w:val="20"/>
          <w:szCs w:val="20"/>
        </w:rPr>
      </w:pPr>
    </w:p>
    <w:tbl>
      <w:tblPr>
        <w:tblW w:w="0" w:type="auto"/>
        <w:tblLayout w:type="fixed"/>
        <w:tblCellMar>
          <w:left w:w="10" w:type="dxa"/>
          <w:right w:w="10" w:type="dxa"/>
        </w:tblCellMar>
        <w:tblLook w:val="0000"/>
      </w:tblPr>
      <w:tblGrid>
        <w:gridCol w:w="5103"/>
        <w:gridCol w:w="5103"/>
      </w:tblGrid>
      <w:tr w:rsidR="008C5CCA">
        <w:tblPrEx>
          <w:tblCellMar>
            <w:top w:w="0" w:type="dxa"/>
            <w:bottom w:w="0" w:type="dxa"/>
          </w:tblCellMar>
        </w:tblPrEx>
        <w:tc>
          <w:tcPr>
            <w:tcW w:w="5103" w:type="dxa"/>
            <w:tcBorders>
              <w:top w:val="nil"/>
              <w:left w:val="nil"/>
              <w:bottom w:val="nil"/>
              <w:right w:val="nil"/>
            </w:tcBorders>
          </w:tcPr>
          <w:p w:rsidR="008C5CCA" w:rsidRDefault="008C5CCA">
            <w:pPr>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10 декабря 1995 года</w:t>
            </w:r>
          </w:p>
        </w:tc>
        <w:tc>
          <w:tcPr>
            <w:tcW w:w="5103" w:type="dxa"/>
            <w:tcBorders>
              <w:top w:val="nil"/>
              <w:left w:val="nil"/>
              <w:bottom w:val="nil"/>
              <w:right w:val="nil"/>
            </w:tcBorders>
          </w:tcPr>
          <w:p w:rsidR="008C5CCA" w:rsidRDefault="008C5CCA">
            <w:pPr>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N 196-ФЗ</w:t>
            </w:r>
          </w:p>
        </w:tc>
      </w:tr>
    </w:tbl>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РОССИЙСКАЯ ФЕДЕРАЦИЯ</w:t>
      </w: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ФЕДЕРАЛЬНЫЙ ЗАКОН</w:t>
      </w: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О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Принят</w:t>
      </w:r>
    </w:p>
    <w:p w:rsidR="008C5CCA" w:rsidRDefault="008C5CCA" w:rsidP="008C5CCA">
      <w:pPr>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Государственной Думой</w:t>
      </w:r>
    </w:p>
    <w:p w:rsidR="008C5CCA" w:rsidRDefault="008C5CCA" w:rsidP="008C5CCA">
      <w:pPr>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15 ноября 1995 года</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Список изменяющих документов</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lastRenderedPageBreak/>
        <w:t>(в ред. Федеральных законов от 02.03.1999 N 41-ФЗ,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25.04.2002 N 41-ФЗ, от 10.01.2003 N 15-ФЗ,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22.08.2004 N 122-ФЗ, от 18.12.2006 N 232-ФЗ,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08.11.2007 N 257-ФЗ, от 01.12.2007 N 309-ФЗ,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30.12.2008 N 313-ФЗ, от 25.11.2009 N 267-ФЗ,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23.07.2010 N 169-ФЗ, от 27.07.2010 N 227-ФЗ,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21.04.2011 N 69-ФЗ, от 01.07.2011 N 170-ФЗ,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11.07.2011 N 192-ФЗ, от 18.07.2011 N 242-ФЗ,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19.07.2011 N 248-ФЗ, от 14.06.2012 N 78-ФЗ,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28.07.2012 N 131-ФЗ, от 26.04.2013 N 65-ФЗ,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07.05.2013 N 92-ФЗ (ред. 02.07.2013),</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02.07.2013 N 185-ФЗ, от 23.07.2013 N 196-ФЗ,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25.11.2013 N 317-ФЗ, от 28.12.2013 N 437-ФЗ,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14.10.2014 N 307-ФЗ, от 08.06.2015 N 143-ФЗ,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13.07.2015 N 233-ФЗ, от 28.11.2015 N 340-ФЗ,</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28.11.2015 N 357-ФЗ)</w:t>
      </w:r>
    </w:p>
    <w:p w:rsidR="008C5CCA" w:rsidRDefault="008C5CCA" w:rsidP="008C5CCA">
      <w:pPr>
        <w:autoSpaceDE w:val="0"/>
        <w:autoSpaceDN w:val="0"/>
        <w:adjustRightInd w:val="0"/>
        <w:spacing w:after="0" w:line="240" w:lineRule="auto"/>
        <w:jc w:val="both"/>
        <w:rPr>
          <w:rFonts w:ascii="Arial CYR" w:hAnsi="Arial CYR" w:cs="Arial CYR"/>
          <w:sz w:val="20"/>
          <w:szCs w:val="20"/>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I. ОБЩИЕ ПОЛОЖЕНИЯ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 Задачи настоящего Федерального закона</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Настоящий Федеральный закон определяет правовые основы обеспечения безопасности дорожного движения на территории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 Основные термины</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Для целей настоящего Федерального закона применяются следующие основные термины:</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транспортное средство - устройство, предназначенное для перевозки по дорогам людей, грузов или оборудования, установленного на нем;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Федеральным законом от 28.12.2013 N 437-ФЗ)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3. Основные принципы обеспечения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Основными принципами обеспечения безопасности дорожного движения являются: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приоритет жизни и здоровья граждан, участвующих в дорожном движении, над экономическими результатами хозяйственной деятельности;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соблюдение интересов граждан, общества и государства при обеспечении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программно-целевой подход к деятельности по обеспечению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4. Правовые основы безопасности дорожного движения в Российской Федерации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11.07.2011 N 192-ФЗ)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11.07.2011 N 192-ФЗ)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II. ГОСУДАРСТВЕННАЯ ПОЛИТИКА В ОБЛАСТИ</w:t>
      </w: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ОБЕСПЕЧЕНИЯ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5. Основные направления обеспечения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Обеспечение безопасности дорожного движения осуществляется посредством: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11.07.2011 N 192-ФЗ)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регулирования деятельности на автомобильном, городском наземном электрическом транспорте и в дорожном хозяйстве;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стандартов, технических норм и других нормативных документов;</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19.07.2011 N 248-ФЗ)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осуществления деятельности по организации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материального и финансового обеспечения мероприятий по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организации подготовки водителей транспортных средств и обучения граждан правилам и требованиям безопасности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проведения комплекса мероприятий по медицинскому обеспечению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30.12.2008 N 313-ФЗ)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10.01.2003 N 15-ФЗ)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проведения социально ориентированной политики в области страхования на транспорте;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осуществления федерального государственного надзора в области обеспечения безопасности дорожного движения.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18.07.2011 N 242-ФЗ)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6. Полномочия Российской Федерации, субъектов Российской Федерации и органов местного самоуправления в области обеспечения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В ведении Российской Федерации находятся: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установление правовых основ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установление единой системы технических регламентов, правил, стандартов, технических норм и других нормативных документов по вопросам обеспечения безопасности дорожного движения;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19.07.2011 N 248-ФЗ)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Конституции Российской Федерации и федеральным законам;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разработка и утверждение федеральных программ повышения безопасности дорожного движения и их финансовое обеспечение;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абзац утратил силу. - Федеральный закон от 22.08.2004 N 122-ФЗ;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и осуществление федерального государственного надзора в области обеспечения безопасности дорожного движения;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18.07.2011 N 242-ФЗ)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заключение международных договоров Российской Федерации в области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Положения абзаца третьего пункта 2 статьи 6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Федеральным законом от 13.07.2015 N 233-ФЗ)</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2 в ред. Федерального закона от 22.08.2004 N 122-ФЗ)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осуществление мероприятий по предупреждению детского дорожно-транспортного травматизма;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участие в организации подготовки и переподготовки водителей транспортных средств;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информирование граждан о правилах и требованиях в области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3 в ред. Федерального закона от 11.07.2011 N 192-ФЗ)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К полномочиям органов местного самоуправления городского поселения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28.11.2015 N 357-ФЗ)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участие в осуществлении мероприятий по предупреждению детского дорожно-транспортного травматизма на территории муниципального района.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Федеральным законом от 28.11.2015 N 357-ФЗ)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участие в осуществлении мероприятий по предупреждению детского дорожно-транспортного травматизма на территории городского округа.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4 в ред. Федерального закона от 11.07.2011 N 192-ФЗ)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7. Исключена. - Федеральный закон от 10.01.2003 N 15-ФЗ.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8. Участие общественных объединений в осуществлении мероприятий по обеспечению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стандартов, технических норм и других нормативных документов в области обеспечения безопасности дорожного движения;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19.07.2011 N 248-ФЗ)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проводить мероприятия по профилактике аварийности.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9. Организация государственного учета основных показателей состояния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III. ПРОГРАММЫ ОБЕСПЕЧЕНИЯ БЕЗОПАСНОСТИ</w:t>
      </w: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10. Программы обеспечения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IV. ОСНОВНЫЕ ТРЕБОВАНИЯ ПО ОБЕСПЕЧЕНИЮ</w:t>
      </w: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11. Основные требования по обеспечению безопасности дорожного движения при проектировании, строительстве и реконструкции дорог</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законодательства Российской Федерации о градостроительной деятельности.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Федеральных законов от 18.12.2006 N 232-ФЗ, от 19.07.2011 N 248-ФЗ)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12. Основные требования по обеспечению безопасности дорожного движения при ремонте и содержании дорог</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19.07.2011 N 248-ФЗ)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Федеральных законов от 08.11.2007 N 257-ФЗ, от 19.07.2011 N 248-ФЗ)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13. Обустройство дорог объектами сервиса</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25.11.2013 N 317-ФЗ)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14. Временные ограничение или прекращение движения транспортных средств по автомобильным дорогам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ред. Федерального закона от 21.04.2011 N 69-ФЗ)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30.12.2008 N 313-ФЗ)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30.12.2008 N 313-ФЗ)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Допуск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законодательством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27.07.2010 N 227-ФЗ)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30.12.2008 N 313-ФЗ)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16. Основные требования по обеспечению безопасности дорожного движения при эксплуатации транспортных средств</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 правилах обязательного страхования гражданской ответственности владельцев транспортных средств см. Положение, утвержденное Банком России 19.09.2014 N 431-П.</w:t>
      </w: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3 в ред. Федерального закона от 01.07.2011 N 170-ФЗ)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17. Технический осмотр транспортных средств</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01.07.2011 N 170-ФЗ)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1 в ред. Федерального закона от 01.07.2011 N 170-ФЗ)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Утратил силу с 1 января 2012 года. - Федеральный закон от 01.07.2011 N 170-ФЗ.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18. Основные требования по обеспечению безопасности дорожного движения при техническом обслуживании и ремонте транспортных средств</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Федеральных законов от 10.01.2003 N 15-ФЗ, от 30.12.2008 N 313-ФЗ)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19. Основания и порядок запрещения эксплуатации транспортных средств</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Перечень неисправностей транспортных средств и условия, при которых запрещается их эксплуатация, определяются Правительством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Запрещается эксплуатация транспортных средств, владельцами которых не исполнена установленная федеральным законом обязанность по страхованию своей гражданской ответственности.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2 введен Федеральным законом от 25.04.2002 N 41-ФЗ)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2.1 введен Федеральным законом от 23.07.2010 N 169-ФЗ)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Запрещение эксплуатации транспортного средства осуществляется уполномоченными на то должностными лицами.</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Федеральным законом от 26.04.2013 N 65-ФЗ)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организовывать работу водителей в соответствии с требованиями, обеспечивающими безопасность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соблюдать установленный законодательством Российской Федерации режим труда и отдыха водителей;</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организовывать в соответствии с требованиями настоящего Федерального закона, Федерального закона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28.12.2013 N 437-ФЗ)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Федеральным законом от 25.04.2002 N 41-ФЗ)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Федеральным законом от 14.06.2012 N 78-ФЗ)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Юридическим лицам и индивидуальным предпринимателям запрещается: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2 в ред. Федерального закона от 07.05.2013 N 92-ФЗ)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обеспечивать наличие в организации должностного лица,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устанавливается федеральным законом;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обеспечивать наличие помещений и оборудования, позволяющих осуществлять стоянку, техническое обслуживание и ремонт транспортных средств, или заключение договоров со специализированными организациями о стоянке, техническом обслуживании и ремонте транспортных средств;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организовывать и проводить предрейсовый контроль технического состояния транспортных средств.</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28.12.2013 N 437-ФЗ)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Перечень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4 введен Федеральным законом от 28.07.2012 N 131-ФЗ)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21. Мероприятия по организации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1 в ред. Федерального закона от 21.04.2011 N 69-ФЗ)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порядке.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3 введен Федеральным законом от 08.06.2015 N 143-ФЗ)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22. Требования по обеспечению безопасности дорожного движения в процессе его организации</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19.07.2011 N 248-ФЗ)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5. На дорогах Российской Федерации устанавливается правостороннее движение транспортных средств.</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 медицинском обеспечении безопасности дорожного движения см. Письмо Росздравнадзора от 12.03.2014 N 01И-271/14.</w:t>
      </w: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23. Медицинское обеспечение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ред. Федерального закона от 28.12.2013 N 437-ФЗ)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Медицинское обеспечение безопасности дорожного движения включает в себя: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обязательное медицинское освидетельствование кандидатов в водители транспортных средств;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обязательные предварительные, периодические (не реже одного раза в два года), предрейсовые и послерейсовые медицинские осмотры;</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5. Обязательные медицинские осмотры, указанные в </w:t>
      </w:r>
      <w:hyperlink r:id="rId5" w:history="1">
        <w:r>
          <w:rPr>
            <w:rFonts w:ascii="Arial CYR" w:hAnsi="Arial CYR" w:cs="Arial CYR"/>
            <w:color w:val="0000FF"/>
            <w:sz w:val="20"/>
            <w:szCs w:val="20"/>
          </w:rPr>
          <w:t>пункте 3</w:t>
        </w:r>
      </w:hyperlink>
      <w:r>
        <w:rPr>
          <w:rFonts w:ascii="Arial CYR" w:hAnsi="Arial CYR" w:cs="Arial CYR"/>
          <w:sz w:val="20"/>
          <w:szCs w:val="20"/>
        </w:rPr>
        <w:t xml:space="preserve"> настоящей статьи, проводятся за счет средств работодателя.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частью 4 статьи 24 Федерального закона от 21 ноября 2011 года N 323-ФЗ "Об основах охраны здоровья граждан в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10. Пострадавшим в дорожно-транспортных происшествиях оказывается первая помощь, а также медицинская помощь, которая заключается: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оказании скорой медицинской помощи на месте дорожно-транспортного происшествия и в пути следования в медицинскую организацию;</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оказании первичной медико-санитарной помощи и специализированной медицинской помощи.</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23.1. Медицинские противопоказания, медицинские показания и медицинские ограничения к управлению транспортными средствами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(введена Федеральным законом от 28.12.2013 N 437-ФЗ)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24. Права и обязанности участников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Реализация участниками дорожного движения своих прав не должна ограничивать или нарушать права других участников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Участники дорожного движения имеют право:</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r:id="rId6" w:history="1">
        <w:r>
          <w:rPr>
            <w:rFonts w:ascii="Arial CYR" w:hAnsi="Arial CYR" w:cs="Arial CYR"/>
            <w:color w:val="0000FF"/>
            <w:sz w:val="20"/>
            <w:szCs w:val="20"/>
          </w:rPr>
          <w:t>статье 13</w:t>
        </w:r>
      </w:hyperlink>
      <w:r>
        <w:rPr>
          <w:rFonts w:ascii="Arial CYR" w:hAnsi="Arial CYR" w:cs="Arial CYR"/>
          <w:sz w:val="20"/>
          <w:szCs w:val="20"/>
        </w:rPr>
        <w:t xml:space="preserve"> настоящего Федерального закона, достоверную информацию о безопасных условиях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получать информацию от должностных лиц, указанных в </w:t>
      </w:r>
      <w:hyperlink r:id="rId7" w:history="1">
        <w:r>
          <w:rPr>
            <w:rFonts w:ascii="Arial CYR" w:hAnsi="Arial CYR" w:cs="Arial CYR"/>
            <w:color w:val="0000FF"/>
            <w:sz w:val="20"/>
            <w:szCs w:val="20"/>
          </w:rPr>
          <w:t>статье 14</w:t>
        </w:r>
      </w:hyperlink>
      <w:r>
        <w:rPr>
          <w:rFonts w:ascii="Arial CYR" w:hAnsi="Arial CYR" w:cs="Arial CYR"/>
          <w:sz w:val="20"/>
          <w:szCs w:val="20"/>
        </w:rPr>
        <w:t xml:space="preserve"> настоящего Федерального закона, о причинах установления ограничения или запрещения движения по дорогам;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получать полную и достоверную информацию о качестве продукции и услуг, связанных с обеспечением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10.01.2003 N 15-ФЗ)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Водительские удостоверения, выданные в Российской Федерации до дня вступления в силу Федерального закона от 07.05.2013 N 92-ФЗ, признаются действительными до окончания установленного в них срока.</w:t>
      </w: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25. Основные положения, касающиеся допуска к управлению транспортными средствами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ред. Федерального закона от 07.05.2013 N 92-ФЗ)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"A" - мотоциклы;</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"CE" - автомобили категории "C", сцепленные с прицепом, разрешенная максимальная масса которого превышает 750 килограммов;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"Tm" - трамваи;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"Tb" - троллейбусы;</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"M" - мопеды и легкие квадрициклы;</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подкатегория "B1" - трициклы и квадрициклы;</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r:id="rId8" w:history="1">
        <w:r>
          <w:rPr>
            <w:rFonts w:ascii="Arial CYR" w:hAnsi="Arial CYR" w:cs="Arial CYR"/>
            <w:color w:val="0000FF"/>
            <w:sz w:val="20"/>
            <w:szCs w:val="20"/>
          </w:rPr>
          <w:t>статье 26</w:t>
        </w:r>
      </w:hyperlink>
      <w:r>
        <w:rPr>
          <w:rFonts w:ascii="Arial CYR" w:hAnsi="Arial CYR" w:cs="Arial CYR"/>
          <w:sz w:val="20"/>
          <w:szCs w:val="20"/>
        </w:rPr>
        <w:t xml:space="preserve"> настоящего Федерального закона.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28.12.2013 N 437-ФЗ)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Экзамены проводятся уполномоченными должностными лицами органов внутренних дел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Экзамены могут проводиться с применением технических средств контроля теоретических знаний и практических навыков экзаменуемых.</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Право на управление транспортными средствами подтверждается водительским удостоверением.</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14.10.2014 N 307-ФЗ)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6. Российское национальное водительское удостоверение выдается на срок десять лет, если иное не предусмотрено федеральными законами.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14.10.2014 N 307-ФЗ)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r:id="rId9" w:history="1">
        <w:r>
          <w:rPr>
            <w:rFonts w:ascii="Arial CYR" w:hAnsi="Arial CYR" w:cs="Arial CYR"/>
            <w:color w:val="0000FF"/>
            <w:sz w:val="20"/>
            <w:szCs w:val="20"/>
          </w:rPr>
          <w:t>пункте 13</w:t>
        </w:r>
      </w:hyperlink>
      <w:r>
        <w:rPr>
          <w:rFonts w:ascii="Arial CYR" w:hAnsi="Arial CYR" w:cs="Arial CYR"/>
          <w:sz w:val="20"/>
          <w:szCs w:val="20"/>
        </w:rPr>
        <w:t xml:space="preserve"> настоящей статьи.</w:t>
      </w: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Пункт 13 статьи 25 вступает в силу с 1 июня 2017 года (часть 2.1 статьи 3 Федерального закона от 07.05.2013 N 92-ФЗ (ред. 23.05.2015)).</w:t>
      </w: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r:id="rId10" w:history="1">
        <w:r>
          <w:rPr>
            <w:rFonts w:ascii="Arial CYR" w:hAnsi="Arial CYR" w:cs="Arial CYR"/>
            <w:color w:val="0000FF"/>
            <w:sz w:val="20"/>
            <w:szCs w:val="20"/>
          </w:rPr>
          <w:t>статьей 26</w:t>
        </w:r>
      </w:hyperlink>
      <w:r>
        <w:rPr>
          <w:rFonts w:ascii="Arial CYR" w:hAnsi="Arial CYR" w:cs="Arial CYR"/>
          <w:sz w:val="20"/>
          <w:szCs w:val="20"/>
        </w:rPr>
        <w:t xml:space="preserve"> настоящего Федерального закона для соответствующих категорий и подкатегорий транспортных средств.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17. Положения, предусмотренные </w:t>
      </w:r>
      <w:hyperlink r:id="rId11" w:history="1">
        <w:r>
          <w:rPr>
            <w:rFonts w:ascii="Arial CYR" w:hAnsi="Arial CYR" w:cs="Arial CYR"/>
            <w:color w:val="0000FF"/>
            <w:sz w:val="20"/>
            <w:szCs w:val="20"/>
          </w:rPr>
          <w:t>пунктами 13</w:t>
        </w:r>
      </w:hyperlink>
      <w:r>
        <w:rPr>
          <w:rFonts w:ascii="Arial CYR" w:hAnsi="Arial CYR" w:cs="Arial CYR"/>
          <w:sz w:val="20"/>
          <w:szCs w:val="20"/>
        </w:rPr>
        <w:t xml:space="preserve"> и </w:t>
      </w:r>
      <w:hyperlink r:id="rId12" w:history="1">
        <w:r>
          <w:rPr>
            <w:rFonts w:ascii="Arial CYR" w:hAnsi="Arial CYR" w:cs="Arial CYR"/>
            <w:color w:val="0000FF"/>
            <w:sz w:val="20"/>
            <w:szCs w:val="20"/>
          </w:rPr>
          <w:t>16</w:t>
        </w:r>
      </w:hyperlink>
      <w:r>
        <w:rPr>
          <w:rFonts w:ascii="Arial CYR" w:hAnsi="Arial CYR" w:cs="Arial CYR"/>
          <w:sz w:val="20"/>
          <w:szCs w:val="20"/>
        </w:rPr>
        <w:t xml:space="preserve"> настоящей статьи, не применяются в случаях участия транспортного средства в международном движении.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18. Порядок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26. Условия получения права на управление транспортными средствами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ред. Федерального закона от 07.05.2013 N 92-ФЗ (ред. 02.07.2013))</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 особенностях реализации примерных программ профессионального обучения водителей транспортных средств соответствующих категорий и подкатегорий см. Разъяснения Минобрнауки России.</w:t>
      </w:r>
    </w:p>
    <w:p w:rsidR="008C5CCA" w:rsidRDefault="008C5CCA" w:rsidP="008C5CCA">
      <w:pPr>
        <w:autoSpaceDE w:val="0"/>
        <w:autoSpaceDN w:val="0"/>
        <w:adjustRightInd w:val="0"/>
        <w:spacing w:before="100" w:after="100" w:line="240" w:lineRule="auto"/>
        <w:jc w:val="both"/>
        <w:rPr>
          <w:rFonts w:ascii="Arial CYR" w:hAnsi="Arial CYR" w:cs="Arial CYR"/>
          <w:sz w:val="2"/>
          <w:szCs w:val="2"/>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Право на управление транспортными средствами предоставляется: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транспортными средствами категории "M" и подкатегории "A1" - лицам, достигшим шестнадцатилетнего возраста;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транспортными средствами категорий "A", "B", "C" и подкатегорий "B1", "C1" - лицам, достигшим восемнадцатилетнего возраста;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транспортными средствами категорий "D", "Tm", "Tb" и подкатегории "D1" - лицам, достигшим двадцатиоднолетнего возраста;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hyperlink r:id="rId13" w:history="1">
        <w:r>
          <w:rPr>
            <w:rFonts w:ascii="Arial CYR" w:hAnsi="Arial CYR" w:cs="Arial CYR"/>
            <w:color w:val="0000FF"/>
            <w:sz w:val="20"/>
            <w:szCs w:val="20"/>
          </w:rPr>
          <w:t>пунктом 1</w:t>
        </w:r>
      </w:hyperlink>
      <w:r>
        <w:rPr>
          <w:rFonts w:ascii="Arial CYR" w:hAnsi="Arial CYR" w:cs="Arial CYR"/>
          <w:sz w:val="20"/>
          <w:szCs w:val="20"/>
        </w:rPr>
        <w:t xml:space="preserve"> настоящей статьи.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Российские национальные водительские удостоверения выдаются указанным лицам по достижении ими восемнадцатилетнего возраста.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27. Утратила силу. - Федеральный закон от 07.05.2013 N 92-ФЗ.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28. Основания прекращения, приостановления действия права на управление транспортными средствами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28.11.2015 N 340-ФЗ)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Основаниями прекращения действия права на управление транспортными средствами являются: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истечение срока действия водительского удостоверения;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лишение права на управление транспортными средствами.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Федеральным законом от 28.11.2015 N 340-ФЗ)</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1 в ред. Федерального закона от 28.12.2013 N 437-ФЗ)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3 введен Федеральным законом от 23.07.2013 N 196-ФЗ)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29. Обучение граждан правилам безопасного поведения на автомобильных дорогах</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(п. 1 в ред. Федерального закона от 02.07.2013 N 185-ФЗ)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02.07.2013 N 185-ФЗ)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Утратил силу с 1 сентября 2013 года. - Федеральный закон от 02.07.2013 N 185-ФЗ.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8C5CCA" w:rsidRDefault="008C5CCA" w:rsidP="008C5CCA">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Федерального закона от 02.07.2013 N 185-ФЗ)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V. ФЕДЕРАЛЬНЫЙ ГОСУДАРСТВЕННЫЙ НАДЗОР В ОБЛАСТИ</w:t>
      </w: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ОБЕСПЕЧЕНИЯ БЕЗОПАСНОСТИ ДОРОЖНОГО ДВИЖЕНИЯ</w:t>
      </w:r>
    </w:p>
    <w:p w:rsidR="008C5CCA" w:rsidRDefault="008C5CCA" w:rsidP="008C5CCA">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(в ред. Федерального закона от 18.07.2011 N 242-ФЗ)</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30. Федеральный государственный надзор в области безопасности дорожного движения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ред. Федерального закона от 18.07.2011 N 242-ФЗ)</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14" w:history="1">
        <w:r>
          <w:rPr>
            <w:rFonts w:ascii="Arial CYR" w:hAnsi="Arial CYR" w:cs="Arial CYR"/>
            <w:color w:val="0000FF"/>
            <w:sz w:val="20"/>
            <w:szCs w:val="20"/>
          </w:rPr>
          <w:t>пунктами 4</w:t>
        </w:r>
      </w:hyperlink>
      <w:r>
        <w:rPr>
          <w:rFonts w:ascii="Arial CYR" w:hAnsi="Arial CYR" w:cs="Arial CYR"/>
          <w:sz w:val="20"/>
          <w:szCs w:val="20"/>
        </w:rPr>
        <w:t xml:space="preserve"> - </w:t>
      </w:r>
      <w:hyperlink r:id="rId15" w:history="1">
        <w:r>
          <w:rPr>
            <w:rFonts w:ascii="Arial CYR" w:hAnsi="Arial CYR" w:cs="Arial CYR"/>
            <w:color w:val="0000FF"/>
            <w:sz w:val="20"/>
            <w:szCs w:val="20"/>
          </w:rPr>
          <w:t>8</w:t>
        </w:r>
      </w:hyperlink>
      <w:r>
        <w:rPr>
          <w:rFonts w:ascii="Arial CYR" w:hAnsi="Arial CYR" w:cs="Arial CYR"/>
          <w:sz w:val="20"/>
          <w:szCs w:val="20"/>
        </w:rPr>
        <w:t xml:space="preserve"> настоящей статьи.</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5. Основанием для включения плановой проверки в ежегодный план проведения плановых проверок является истечение одного года со дня: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государственной регистрации юридического лица, индивидуального предпринимателя;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окончания проведения последней плановой проверки юридического лица, индивидуального предпринимателя;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пунктах 6 и 7 части 2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6. Основанием для проведения внеплановой проверки является: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r:id="rId16" w:history="1">
        <w:r>
          <w:rPr>
            <w:rFonts w:ascii="Arial CYR" w:hAnsi="Arial CYR" w:cs="Arial CYR"/>
            <w:color w:val="0000FF"/>
            <w:sz w:val="20"/>
            <w:szCs w:val="20"/>
          </w:rPr>
          <w:t>абзаце третьем пункта 6</w:t>
        </w:r>
      </w:hyperlink>
      <w:r>
        <w:rPr>
          <w:rFonts w:ascii="Arial CYR" w:hAnsi="Arial CYR" w:cs="Arial CYR"/>
          <w:sz w:val="20"/>
          <w:szCs w:val="20"/>
        </w:rPr>
        <w:t xml:space="preserve"> настоящей статьи, не допускается.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VI. ОТВЕТСТВЕННОСТЬ ЗА НАРУШЕНИЕ ЗАКОНОДАТЕЛЬСТВА</w:t>
      </w: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РОССИЙСКОЙ ФЕДЕРАЦИИ О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31. Ответственность за нарушение законодательства Российской Федерации о безопасности дорожного движения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VII. МЕЖДУНАРОДНЫЕ ДОГОВОРЫ РОССИЙСКОЙ ФЕДЕРАЦИИ</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32. Международные договоры Российской Федерации</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VIII. ЗАКЛЮЧИТЕЛЬНЫЕ ПОЛОЖЕНИЯ</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Статья 33. Вступление в силу настоящего Федерального закона</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Настоящий Федеральный закон вступает в силу со дня его официального опубликования.</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8C5CCA" w:rsidRDefault="008C5CCA" w:rsidP="008C5CCA">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8C5CCA" w:rsidRDefault="008C5CCA" w:rsidP="008C5CCA">
      <w:pPr>
        <w:autoSpaceDE w:val="0"/>
        <w:autoSpaceDN w:val="0"/>
        <w:adjustRightInd w:val="0"/>
        <w:spacing w:after="0" w:line="240" w:lineRule="auto"/>
        <w:rPr>
          <w:rFonts w:ascii="Arial CYR" w:hAnsi="Arial CYR" w:cs="Arial CYR"/>
          <w:sz w:val="20"/>
          <w:szCs w:val="20"/>
        </w:rPr>
      </w:pPr>
    </w:p>
    <w:p w:rsidR="008C5CCA" w:rsidRDefault="008C5CCA" w:rsidP="008C5CCA">
      <w:pPr>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Президент</w:t>
      </w:r>
    </w:p>
    <w:p w:rsidR="008C5CCA" w:rsidRDefault="008C5CCA" w:rsidP="008C5CCA">
      <w:pPr>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Российской Федерации</w:t>
      </w:r>
    </w:p>
    <w:p w:rsidR="008C5CCA" w:rsidRDefault="008C5CCA" w:rsidP="008C5CCA">
      <w:pPr>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Б.ЕЛЬЦИН</w:t>
      </w:r>
    </w:p>
    <w:p w:rsidR="008C5CCA" w:rsidRDefault="008C5CCA" w:rsidP="008C5CCA">
      <w:pPr>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Москва, Кремль</w:t>
      </w:r>
    </w:p>
    <w:p w:rsidR="008C5CCA" w:rsidRDefault="008C5CCA" w:rsidP="008C5CCA">
      <w:pPr>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10 декабря 1995 года</w:t>
      </w:r>
    </w:p>
    <w:p w:rsidR="008C5CCA" w:rsidRDefault="008C5CCA" w:rsidP="008C5CCA">
      <w:pPr>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N 196-ФЗ</w:t>
      </w:r>
    </w:p>
    <w:p w:rsidR="00DE43A7" w:rsidRPr="008C5CCA" w:rsidRDefault="00DE43A7" w:rsidP="008C5CCA"/>
    <w:sectPr w:rsidR="00DE43A7" w:rsidRPr="008C5CCA" w:rsidSect="00DE4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719CB"/>
    <w:multiLevelType w:val="multilevel"/>
    <w:tmpl w:val="7B7A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AD79FE"/>
    <w:rsid w:val="00236751"/>
    <w:rsid w:val="008C5CCA"/>
    <w:rsid w:val="00AD79FE"/>
    <w:rsid w:val="00DE4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7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79FE"/>
  </w:style>
  <w:style w:type="character" w:styleId="a4">
    <w:name w:val="Strong"/>
    <w:basedOn w:val="a0"/>
    <w:uiPriority w:val="22"/>
    <w:qFormat/>
    <w:rsid w:val="00AD79FE"/>
    <w:rPr>
      <w:b/>
      <w:bCs/>
    </w:rPr>
  </w:style>
  <w:style w:type="character" w:styleId="a5">
    <w:name w:val="Emphasis"/>
    <w:basedOn w:val="a0"/>
    <w:uiPriority w:val="20"/>
    <w:qFormat/>
    <w:rsid w:val="00AD79FE"/>
    <w:rPr>
      <w:i/>
      <w:iCs/>
    </w:rPr>
  </w:style>
</w:styles>
</file>

<file path=word/webSettings.xml><?xml version="1.0" encoding="utf-8"?>
<w:webSettings xmlns:r="http://schemas.openxmlformats.org/officeDocument/2006/relationships" xmlns:w="http://schemas.openxmlformats.org/wordprocessingml/2006/main">
  <w:divs>
    <w:div w:id="13401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40;&#1076;&#1072;&#1084;%20&#1048;&#1079;&#1084;&#1072;&#1080;&#1083;&#1086;&#1074;&#1080;&#1095;\AppData\Roaming\Microsoft\Word\l%20Par400%20%20o" TargetMode="External"/><Relationship Id="rId13" Type="http://schemas.openxmlformats.org/officeDocument/2006/relationships/hyperlink" Target="file:///C:\Users\&#1040;&#1076;&#1072;&#1084;%20&#1048;&#1079;&#1084;&#1072;&#1080;&#1083;&#1086;&#1074;&#1080;&#1095;\AppData\Roaming\Microsoft\Word\l%20Par407%20%20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1040;&#1076;&#1072;&#1084;%20&#1048;&#1079;&#1084;&#1072;&#1080;&#1083;&#1086;&#1074;&#1080;&#1095;\AppData\Roaming\Microsoft\Word\l%20Par183%20%20o" TargetMode="External"/><Relationship Id="rId12" Type="http://schemas.openxmlformats.org/officeDocument/2006/relationships/hyperlink" Target="file:///C:\Users\&#1040;&#1076;&#1072;&#1084;%20&#1048;&#1079;&#1084;&#1072;&#1080;&#1083;&#1086;&#1074;&#1080;&#1095;\AppData\Roaming\Microsoft\Word\l%20Par393%20%20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0;&#1076;&#1072;&#1084;%20&#1048;&#1079;&#1084;&#1072;&#1080;&#1083;&#1086;&#1074;&#1080;&#1095;\AppData\Roaming\Microsoft\Word\l%20Par464%20%20o" TargetMode="External"/><Relationship Id="rId1" Type="http://schemas.openxmlformats.org/officeDocument/2006/relationships/numbering" Target="numbering.xml"/><Relationship Id="rId6" Type="http://schemas.openxmlformats.org/officeDocument/2006/relationships/hyperlink" Target="file:///C:\Users\&#1040;&#1076;&#1072;&#1084;%20&#1048;&#1079;&#1084;&#1072;&#1080;&#1083;&#1086;&#1074;&#1080;&#1095;\AppData\Roaming\Microsoft\Word\l%20Par178%20%20o" TargetMode="External"/><Relationship Id="rId11" Type="http://schemas.openxmlformats.org/officeDocument/2006/relationships/hyperlink" Target="file:///C:\Users\&#1040;&#1076;&#1072;&#1084;%20&#1048;&#1079;&#1084;&#1072;&#1080;&#1083;&#1086;&#1074;&#1080;&#1095;\AppData\Roaming\Microsoft\Word\l%20Par390%20%20o" TargetMode="External"/><Relationship Id="rId5" Type="http://schemas.openxmlformats.org/officeDocument/2006/relationships/hyperlink" Target="file:///C:\Users\&#1040;&#1076;&#1072;&#1084;%20&#1048;&#1079;&#1084;&#1072;&#1080;&#1083;&#1086;&#1074;&#1080;&#1095;\AppData\Roaming\Microsoft\Word\l%20Par299%20%20o" TargetMode="External"/><Relationship Id="rId15" Type="http://schemas.openxmlformats.org/officeDocument/2006/relationships/hyperlink" Target="file:///C:\Users\&#1040;&#1076;&#1072;&#1084;%20&#1048;&#1079;&#1084;&#1072;&#1080;&#1083;&#1086;&#1074;&#1080;&#1095;\AppData\Roaming\Microsoft\Word\l%20Par467%20%20o" TargetMode="External"/><Relationship Id="rId10" Type="http://schemas.openxmlformats.org/officeDocument/2006/relationships/hyperlink" Target="file:///C:\Users\&#1040;&#1076;&#1072;&#1084;%20&#1048;&#1079;&#1084;&#1072;&#1080;&#1083;&#1086;&#1074;&#1080;&#1095;\AppData\Roaming\Microsoft\Word\l%20Par409%20%20o" TargetMode="External"/><Relationship Id="rId4" Type="http://schemas.openxmlformats.org/officeDocument/2006/relationships/webSettings" Target="webSettings.xml"/><Relationship Id="rId9" Type="http://schemas.openxmlformats.org/officeDocument/2006/relationships/hyperlink" Target="file:///C:\Users\&#1040;&#1076;&#1072;&#1084;%20&#1048;&#1079;&#1084;&#1072;&#1080;&#1083;&#1086;&#1074;&#1080;&#1095;\AppData\Roaming\Microsoft\Word\l%20Par390%20%20o" TargetMode="External"/><Relationship Id="rId14" Type="http://schemas.openxmlformats.org/officeDocument/2006/relationships/hyperlink" Target="file:///C:\Users\&#1040;&#1076;&#1072;&#1084;%20&#1048;&#1079;&#1084;&#1072;&#1080;&#1083;&#1086;&#1074;&#1080;&#1095;\AppData\Roaming\Microsoft\Word\l%20Par457%20%2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19</Pages>
  <Words>10818</Words>
  <Characters>61668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2016-02-01T12:57:00Z</dcterms:created>
  <dcterms:modified xsi:type="dcterms:W3CDTF">2016-02-02T11:02:00Z</dcterms:modified>
</cp:coreProperties>
</file>