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8480" cy="1637665"/>
                <wp:effectExtent l="0" t="0" r="1270" b="635"/>
                <wp:docPr id="1" name="Рисунок 5" descr="Изображение выглядит как эмблема, птица, символ, герб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Изображение выглядит как эмблема, птица, символ, герб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808638" cy="1638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2.40pt;height:128.9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6" а. Габукай Теучежского района Республики Адыгея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1020100863177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образования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Начальное общее образование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Итоговый балл по ОП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Достигнут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 п/п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 показателя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Значение показателя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 баллов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Наличие электронной информационно-образовательной среды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Имеется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Принимали участие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67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</w:tbl>
    <w:p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Style13" w:customStyle="1">
    <w:name w:val="_Style 13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hAnsi="Times New Roman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haracters>426</Characters>
  <CharactersWithSpaces>499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Normal.dotm</Template>
  <TotalTime>5</TotalTime>
  <Words>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